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204"/>
        <w:jc w:val="both"/>
        <w:spacing w:lineRule="auto" w:line="276"/>
        <w:rPr>
          <w:rFonts w:ascii="Microsoft Sans Serif" w:hAnsi="Microsoft Sans Serif" w:cs="Microsoft Sans Serif"/>
          <w:szCs w:val="22"/>
        </w:rPr>
      </w:pPr>
      <w:r>
        <w:rPr>
          <w:rFonts w:ascii="Microsoft Sans Serif" w:hAnsi="Microsoft Sans Serif" w:cs="Microsoft Sans Serif"/>
          <w:szCs w:val="22"/>
        </w:rPr>
      </w:r>
      <w:r/>
    </w:p>
    <w:p>
      <w:pPr>
        <w:pStyle w:val="204"/>
        <w:jc w:val="both"/>
        <w:spacing w:lineRule="auto" w:line="360"/>
        <w:rPr>
          <w:rFonts w:ascii="Microsoft Sans Serif" w:hAnsi="Microsoft Sans Serif" w:cs="Microsoft Sans Serif"/>
          <w:b/>
          <w:color w:val="7030A0"/>
          <w:szCs w:val="22"/>
        </w:rPr>
      </w:pPr>
      <w:r>
        <w:rPr>
          <w:rFonts w:ascii="Microsoft Sans Serif" w:hAnsi="Microsoft Sans Serif" w:cs="Microsoft Sans Serif"/>
          <w:b/>
          <w:color w:val="7030A0"/>
          <w:szCs w:val="22"/>
        </w:rPr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</w:rPr>
      </w:pPr>
      <w:r>
        <w:rPr>
          <w:rFonts w:ascii="Microsoft Sans Serif" w:hAnsi="Microsoft Sans Serif" w:cs="Microsoft Sans Serif"/>
          <w:b/>
        </w:rPr>
      </w:r>
      <w:r/>
    </w:p>
    <w:p>
      <w:pPr>
        <w:spacing w:lineRule="auto" w:line="360"/>
        <w:rPr>
          <w:rFonts w:ascii="Microsoft Sans Serif" w:hAnsi="Microsoft Sans Serif" w:cs="Microsoft Sans Serif"/>
          <w:b/>
          <w:color w:val="182765"/>
          <w:sz w:val="56"/>
          <w:szCs w:val="40"/>
          <w:lang w:val="es-ES" w:eastAsia="en-US"/>
        </w:rPr>
      </w:pPr>
      <w:r>
        <w:rPr>
          <w:rFonts w:ascii="Microsoft Sans Serif" w:hAnsi="Microsoft Sans Serif" w:cs="Microsoft Sans Serif"/>
          <w:b/>
          <w:color w:val="182765"/>
          <w:sz w:val="56"/>
          <w:szCs w:val="40"/>
          <w:lang w:val="es-ES" w:eastAsia="en-US"/>
        </w:rPr>
        <w:t xml:space="preserve">Grupo de Trabajo </w:t>
      </w:r>
      <w:r>
        <w:rPr>
          <w:rFonts w:ascii="Microsoft Sans Serif" w:hAnsi="Microsoft Sans Serif" w:cs="Microsoft Sans Serif"/>
          <w:b/>
          <w:color w:val="182765"/>
          <w:sz w:val="56"/>
          <w:szCs w:val="40"/>
          <w:lang w:val="es-ES" w:eastAsia="en-US"/>
        </w:rPr>
        <w:t xml:space="preserve">sobre la Ética de la </w:t>
      </w:r>
      <w:r>
        <w:rPr>
          <w:rFonts w:ascii="Microsoft Sans Serif" w:hAnsi="Microsoft Sans Serif" w:cs="Microsoft Sans Serif"/>
          <w:b/>
          <w:color w:val="182765"/>
          <w:sz w:val="56"/>
          <w:szCs w:val="40"/>
          <w:lang w:val="es-ES" w:eastAsia="en-US"/>
        </w:rPr>
        <w:t xml:space="preserve">Inteligencia </w:t>
      </w:r>
      <w:r>
        <w:rPr>
          <w:rFonts w:ascii="Microsoft Sans Serif" w:hAnsi="Microsoft Sans Serif" w:cs="Microsoft Sans Serif"/>
          <w:b/>
          <w:color w:val="182765"/>
          <w:sz w:val="56"/>
          <w:szCs w:val="40"/>
          <w:lang w:val="es-ES" w:eastAsia="en-US"/>
        </w:rPr>
        <w:t xml:space="preserve">Artificial </w:t>
      </w:r>
      <w:r>
        <w:rPr>
          <w:rFonts w:ascii="Microsoft Sans Serif" w:hAnsi="Microsoft Sans Serif" w:cs="Microsoft Sans Serif"/>
          <w:b/>
          <w:color w:val="182765"/>
          <w:sz w:val="56"/>
          <w:szCs w:val="40"/>
          <w:lang w:val="es-ES" w:eastAsia="en-US"/>
        </w:rPr>
        <w:t xml:space="preserve">Ética </w:t>
      </w:r>
      <w:r>
        <w:rPr>
          <w:rFonts w:ascii="Microsoft Sans Serif" w:hAnsi="Microsoft Sans Serif" w:cs="Microsoft Sans Serif"/>
          <w:b/>
          <w:color w:val="182765"/>
          <w:sz w:val="56"/>
          <w:szCs w:val="40"/>
          <w:lang w:val="es-ES" w:eastAsia="en-US"/>
        </w:rPr>
        <w:t xml:space="preserve">en América</w:t>
      </w:r>
      <w:r>
        <w:rPr>
          <w:rFonts w:ascii="Microsoft Sans Serif" w:hAnsi="Microsoft Sans Serif" w:cs="Microsoft Sans Serif"/>
          <w:b/>
          <w:color w:val="182765"/>
          <w:sz w:val="56"/>
          <w:szCs w:val="40"/>
          <w:lang w:val="es-ES" w:eastAsia="en-US"/>
        </w:rPr>
        <w:t xml:space="preserve"> Latina y el Caribe </w:t>
      </w:r>
      <w:r>
        <w:rPr>
          <w:rFonts w:ascii="Microsoft Sans Serif" w:hAnsi="Microsoft Sans Serif" w:cs="Microsoft Sans Serif"/>
          <w:b/>
          <w:color w:val="182765"/>
          <w:sz w:val="56"/>
          <w:szCs w:val="40"/>
          <w:lang w:val="es-ES" w:eastAsia="en-US"/>
        </w:rPr>
        <w:t xml:space="preserve"> </w:t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  <w:lang w:val="es-ES"/>
        </w:rPr>
      </w:pPr>
      <w:r>
        <w:rPr>
          <w:rFonts w:ascii="Microsoft Sans Serif" w:hAnsi="Microsoft Sans Serif" w:cs="Microsoft Sans Serif"/>
          <w:b/>
          <w:lang w:val="es-ES"/>
        </w:rPr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</w:rPr>
      </w:pPr>
      <w:r>
        <w:rPr>
          <w:rFonts w:ascii="Microsoft Sans Serif" w:hAnsi="Microsoft Sans Serif" w:cs="Microsoft Sans Serif"/>
          <w:b/>
        </w:rPr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  <w:color w:val="182765"/>
          <w:sz w:val="32"/>
          <w:szCs w:val="32"/>
          <w:lang w:val="es-ES" w:eastAsia="en-US"/>
        </w:rPr>
      </w:pPr>
      <w:r>
        <w:rPr>
          <w:rFonts w:ascii="Microsoft Sans Serif" w:hAnsi="Microsoft Sans Serif" w:cs="Microsoft Sans Serif"/>
          <w:b/>
          <w:color w:val="182765"/>
          <w:sz w:val="32"/>
          <w:szCs w:val="32"/>
          <w:lang w:val="es-ES" w:eastAsia="en-US"/>
        </w:rPr>
        <w:t xml:space="preserve">Reunión </w:t>
      </w:r>
      <w:r>
        <w:rPr>
          <w:rFonts w:ascii="Microsoft Sans Serif" w:hAnsi="Microsoft Sans Serif" w:cs="Microsoft Sans Serif"/>
          <w:b/>
          <w:color w:val="182765"/>
          <w:sz w:val="32"/>
          <w:szCs w:val="32"/>
          <w:lang w:val="es-ES" w:eastAsia="en-US"/>
        </w:rPr>
        <w:t xml:space="preserve">Grupo</w:t>
      </w:r>
      <w:r>
        <w:rPr>
          <w:rFonts w:ascii="Microsoft Sans Serif" w:hAnsi="Microsoft Sans Serif" w:cs="Microsoft Sans Serif"/>
          <w:b/>
          <w:color w:val="182765"/>
          <w:sz w:val="32"/>
          <w:szCs w:val="32"/>
          <w:lang w:val="es-ES" w:eastAsia="en-US"/>
        </w:rPr>
        <w:t xml:space="preserve"> de coordinación </w:t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  <w:color w:val="182765"/>
          <w:sz w:val="32"/>
          <w:szCs w:val="32"/>
          <w:lang w:val="es-ES" w:eastAsia="en-US"/>
        </w:rPr>
      </w:pPr>
      <w:r>
        <w:rPr>
          <w:rFonts w:ascii="Microsoft Sans Serif" w:hAnsi="Microsoft Sans Serif" w:cs="Microsoft Sans Serif"/>
          <w:b/>
          <w:color w:val="182765"/>
          <w:sz w:val="32"/>
          <w:szCs w:val="32"/>
          <w:lang w:val="es-ES" w:eastAsia="en-US"/>
        </w:rPr>
        <w:t xml:space="preserve">AGESIC, CAF y UNESCO</w:t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  <w:sz w:val="24"/>
        </w:rPr>
      </w:pPr>
      <w:r>
        <w:rPr>
          <w:rFonts w:ascii="Microsoft Sans Serif" w:hAnsi="Microsoft Sans Serif" w:cs="Microsoft Sans Serif"/>
          <w:b/>
          <w:sz w:val="24"/>
        </w:rPr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  <w:sz w:val="24"/>
        </w:rPr>
      </w:pPr>
      <w:r>
        <w:rPr>
          <w:rFonts w:ascii="Microsoft Sans Serif" w:hAnsi="Microsoft Sans Serif" w:cs="Microsoft Sans Serif"/>
          <w:b/>
          <w:sz w:val="24"/>
        </w:rPr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  <w:sz w:val="24"/>
        </w:rPr>
      </w:pPr>
      <w:r>
        <w:rPr>
          <w:rFonts w:ascii="Microsoft Sans Serif" w:hAnsi="Microsoft Sans Serif" w:cs="Microsoft Sans Serif"/>
          <w:b/>
          <w:sz w:val="24"/>
        </w:rPr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  <w:sz w:val="24"/>
        </w:rPr>
      </w:pPr>
      <w:r>
        <w:rPr>
          <w:rFonts w:ascii="Microsoft Sans Serif" w:hAnsi="Microsoft Sans Serif" w:cs="Microsoft Sans Serif"/>
          <w:b/>
          <w:sz w:val="24"/>
        </w:rPr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  <w:sz w:val="32"/>
        </w:rPr>
      </w:pPr>
      <w:r>
        <w:rPr>
          <w:rFonts w:ascii="Microsoft Sans Serif" w:hAnsi="Microsoft Sans Serif" w:cs="Microsoft Sans Serif"/>
          <w:b/>
          <w:sz w:val="32"/>
        </w:rPr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  <w:sz w:val="32"/>
        </w:rPr>
      </w:pPr>
      <w:r>
        <w:rPr>
          <w:rFonts w:ascii="Microsoft Sans Serif" w:hAnsi="Microsoft Sans Serif" w:cs="Microsoft Sans Serif"/>
          <w:b/>
          <w:sz w:val="32"/>
        </w:rPr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  <w:sz w:val="32"/>
        </w:rPr>
      </w:pPr>
      <w:r>
        <w:rPr>
          <w:rFonts w:ascii="Microsoft Sans Serif" w:hAnsi="Microsoft Sans Serif" w:cs="Microsoft Sans Serif"/>
          <w:b/>
          <w:sz w:val="32"/>
        </w:rPr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  <w:sz w:val="32"/>
        </w:rPr>
      </w:pPr>
      <w:r>
        <w:rPr>
          <w:rFonts w:ascii="Microsoft Sans Serif" w:hAnsi="Microsoft Sans Serif" w:cs="Microsoft Sans Serif"/>
          <w:b/>
          <w:sz w:val="32"/>
        </w:rPr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  <w:sz w:val="32"/>
        </w:rPr>
      </w:pPr>
      <w:r>
        <w:rPr>
          <w:rFonts w:ascii="Microsoft Sans Serif" w:hAnsi="Microsoft Sans Serif" w:cs="Microsoft Sans Serif"/>
          <w:b/>
          <w:sz w:val="32"/>
        </w:rPr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  <w:sz w:val="32"/>
        </w:rPr>
      </w:pPr>
      <w:r>
        <w:rPr>
          <w:rFonts w:ascii="Microsoft Sans Serif" w:hAnsi="Microsoft Sans Serif" w:cs="Microsoft Sans Serif"/>
          <w:b/>
          <w:sz w:val="32"/>
        </w:rPr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  <w:sz w:val="32"/>
        </w:rPr>
      </w:pPr>
      <w:r>
        <w:rPr>
          <w:rFonts w:ascii="Microsoft Sans Serif" w:hAnsi="Microsoft Sans Serif" w:cs="Microsoft Sans Serif"/>
          <w:b/>
          <w:sz w:val="32"/>
        </w:rPr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  <w:sz w:val="32"/>
        </w:rPr>
      </w:pPr>
      <w:r>
        <w:rPr>
          <w:rFonts w:ascii="Microsoft Sans Serif" w:hAnsi="Microsoft Sans Serif" w:cs="Microsoft Sans Serif"/>
          <w:b/>
          <w:sz w:val="32"/>
        </w:rPr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  <w:sz w:val="32"/>
        </w:rPr>
      </w:pPr>
      <w:r>
        <w:rPr>
          <w:rFonts w:ascii="Microsoft Sans Serif" w:hAnsi="Microsoft Sans Serif" w:cs="Microsoft Sans Serif"/>
          <w:b/>
          <w:sz w:val="32"/>
        </w:rPr>
        <w:t xml:space="preserve">Acta </w:t>
      </w:r>
      <w:r>
        <w:rPr>
          <w:rFonts w:ascii="Microsoft Sans Serif" w:hAnsi="Microsoft Sans Serif" w:cs="Microsoft Sans Serif"/>
          <w:b/>
          <w:sz w:val="32"/>
        </w:rPr>
        <w:t xml:space="preserve">N°</w:t>
      </w:r>
      <w:r>
        <w:rPr>
          <w:rFonts w:ascii="Microsoft Sans Serif" w:hAnsi="Microsoft Sans Serif" w:cs="Microsoft Sans Serif"/>
          <w:b/>
          <w:sz w:val="32"/>
        </w:rPr>
        <w:t xml:space="preserve"> </w:t>
      </w:r>
      <w:r>
        <w:rPr>
          <w:rFonts w:ascii="Microsoft Sans Serif" w:hAnsi="Microsoft Sans Serif" w:cs="Microsoft Sans Serif"/>
          <w:b/>
          <w:sz w:val="32"/>
        </w:rPr>
        <w:t xml:space="preserve">0</w:t>
      </w:r>
      <w:r>
        <w:rPr>
          <w:rFonts w:ascii="Microsoft Sans Serif" w:hAnsi="Microsoft Sans Serif" w:cs="Microsoft Sans Serif"/>
          <w:b/>
          <w:sz w:val="32"/>
        </w:rPr>
        <w:t xml:space="preserve">5</w:t>
      </w:r>
      <w:r>
        <w:rPr>
          <w:rFonts w:ascii="Microsoft Sans Serif" w:hAnsi="Microsoft Sans Serif" w:cs="Microsoft Sans Serif"/>
          <w:b/>
          <w:sz w:val="32"/>
        </w:rPr>
        <w:t xml:space="preserve">/</w:t>
      </w:r>
      <w:r>
        <w:rPr>
          <w:rFonts w:ascii="Microsoft Sans Serif" w:hAnsi="Microsoft Sans Serif" w:cs="Microsoft Sans Serif"/>
          <w:b/>
          <w:sz w:val="32"/>
        </w:rPr>
        <w:t xml:space="preserve">17</w:t>
      </w:r>
      <w:r>
        <w:rPr>
          <w:rFonts w:ascii="Microsoft Sans Serif" w:hAnsi="Microsoft Sans Serif" w:cs="Microsoft Sans Serif"/>
          <w:b/>
          <w:sz w:val="32"/>
        </w:rPr>
        <w:t xml:space="preserve">/</w:t>
      </w:r>
      <w:r>
        <w:rPr>
          <w:rFonts w:ascii="Microsoft Sans Serif" w:hAnsi="Microsoft Sans Serif" w:cs="Microsoft Sans Serif"/>
          <w:b/>
          <w:sz w:val="32"/>
        </w:rPr>
        <w:t xml:space="preserve">02</w:t>
      </w:r>
      <w:r>
        <w:rPr>
          <w:rFonts w:ascii="Microsoft Sans Serif" w:hAnsi="Microsoft Sans Serif" w:cs="Microsoft Sans Serif"/>
          <w:b/>
          <w:sz w:val="32"/>
        </w:rPr>
        <w:t xml:space="preserve">/</w:t>
      </w:r>
      <w:r>
        <w:rPr>
          <w:rFonts w:ascii="Microsoft Sans Serif" w:hAnsi="Microsoft Sans Serif" w:cs="Microsoft Sans Serif"/>
          <w:b/>
          <w:sz w:val="32"/>
        </w:rPr>
        <w:t xml:space="preserve">202</w:t>
      </w:r>
      <w:r>
        <w:rPr>
          <w:rFonts w:ascii="Microsoft Sans Serif" w:hAnsi="Microsoft Sans Serif" w:cs="Microsoft Sans Serif"/>
          <w:b/>
          <w:sz w:val="32"/>
        </w:rPr>
        <w:t xml:space="preserve">5</w:t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</w:rPr>
      </w:pPr>
      <w:r>
        <w:rPr>
          <w:rFonts w:ascii="Microsoft Sans Serif" w:hAnsi="Microsoft Sans Serif" w:cs="Microsoft Sans Serif"/>
          <w:b/>
        </w:rPr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</w:rPr>
      </w:pPr>
      <w:r>
        <w:rPr>
          <w:rFonts w:ascii="Microsoft Sans Serif" w:hAnsi="Microsoft Sans Serif" w:cs="Microsoft Sans Serif"/>
          <w:b/>
        </w:rPr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</w:rPr>
      </w:pPr>
      <w:r>
        <w:rPr>
          <w:rFonts w:ascii="Microsoft Sans Serif" w:hAnsi="Microsoft Sans Serif" w:cs="Microsoft Sans Serif"/>
          <w:b/>
        </w:rPr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</w:rPr>
      </w:pPr>
      <w:r>
        <w:rPr>
          <w:rFonts w:ascii="Microsoft Sans Serif" w:hAnsi="Microsoft Sans Serif" w:cs="Microsoft Sans Serif"/>
          <w:b/>
        </w:rPr>
      </w:r>
      <w:r/>
    </w:p>
    <w:p>
      <w:pPr>
        <w:jc w:val="both"/>
        <w:spacing w:lineRule="auto" w:line="360"/>
        <w:rPr>
          <w:rFonts w:ascii="Microsoft Sans Serif" w:hAnsi="Microsoft Sans Serif" w:cs="Microsoft Sans Serif"/>
          <w:b/>
        </w:rPr>
      </w:pPr>
      <w:r>
        <w:rPr>
          <w:rFonts w:ascii="Microsoft Sans Serif" w:hAnsi="Microsoft Sans Serif" w:cs="Microsoft Sans Serif"/>
          <w:b/>
        </w:rPr>
      </w:r>
      <w:r/>
    </w:p>
    <w:p>
      <w:pPr>
        <w:pStyle w:val="246"/>
        <w:keepNext/>
        <w:rPr>
          <w:b/>
          <w:color w:val="auto"/>
        </w:rPr>
      </w:pPr>
      <w:r>
        <w:rPr>
          <w:b/>
          <w:color w:val="auto"/>
        </w:rPr>
        <w:t xml:space="preserve">Asistentes</w:t>
      </w:r>
      <w:r/>
    </w:p>
    <w:tbl>
      <w:tblPr>
        <w:tblW w:w="8897" w:type="dxa"/>
        <w:tblBorders>
          <w:left w:val="single" w:color="8EAADB" w:sz="4" w:space="0"/>
          <w:top w:val="single" w:color="8EAADB" w:sz="4" w:space="0"/>
          <w:right w:val="single" w:color="8EAADB" w:sz="4" w:space="0"/>
          <w:bottom w:val="single" w:color="8EAADB" w:sz="4" w:space="0"/>
          <w:insideV w:val="single" w:color="8EAADB" w:sz="4" w:space="0"/>
          <w:insideH w:val="single" w:color="8EAADB" w:sz="4" w:space="0"/>
        </w:tblBorders>
        <w:tblLook w:val="0620" w:firstRow="1" w:lastRow="0" w:firstColumn="0" w:lastColumn="0" w:noHBand="1" w:noVBand="1"/>
      </w:tblPr>
      <w:tblGrid>
        <w:gridCol w:w="2518"/>
        <w:gridCol w:w="4803"/>
        <w:gridCol w:w="1576"/>
      </w:tblGrid>
      <w:tr>
        <w:trPr/>
        <w:tc>
          <w:tcPr>
            <w:shd w:val="clear" w:color="auto" w:fill="182765"/>
            <w:tcBorders>
              <w:left w:val="single" w:color="FFFFFF" w:sz="4" w:space="0"/>
              <w:top w:val="single" w:color="FFFFFF" w:sz="4" w:space="0"/>
              <w:right w:val="single" w:color="FFFFFF" w:sz="4" w:space="0"/>
              <w:bottom w:val="single" w:color="FFFFFF" w:sz="4" w:space="0"/>
            </w:tcBorders>
            <w:tcW w:w="2518" w:type="dxa"/>
            <w:textDirection w:val="lrTb"/>
            <w:noWrap w:val="false"/>
          </w:tcPr>
          <w:p>
            <w:pPr>
              <w:pStyle w:val="249"/>
              <w:rPr>
                <w:bCs w:val="false"/>
              </w:rPr>
            </w:pPr>
            <w:r>
              <w:rPr>
                <w:bCs w:val="false"/>
              </w:rPr>
              <w:t xml:space="preserve">Institución </w:t>
            </w:r>
            <w:r/>
          </w:p>
        </w:tc>
        <w:tc>
          <w:tcPr>
            <w:shd w:val="clear" w:color="auto" w:fill="182765"/>
            <w:tcBorders>
              <w:left w:val="single" w:color="FFFFFF" w:sz="4" w:space="0"/>
              <w:top w:val="single" w:color="FFFFFF" w:sz="4" w:space="0"/>
              <w:right w:val="single" w:color="FFFFFF" w:sz="4" w:space="0"/>
              <w:bottom w:val="single" w:color="FFFFFF" w:sz="4" w:space="0"/>
            </w:tcBorders>
            <w:tcW w:w="4803" w:type="dxa"/>
            <w:textDirection w:val="lrTb"/>
            <w:noWrap w:val="false"/>
          </w:tcPr>
          <w:p>
            <w:pPr>
              <w:pStyle w:val="249"/>
              <w:rPr>
                <w:bCs w:val="false"/>
              </w:rPr>
            </w:pPr>
            <w:r>
              <w:rPr>
                <w:bCs w:val="false"/>
              </w:rPr>
              <w:t xml:space="preserve">Nombre representante</w:t>
            </w:r>
            <w:r/>
          </w:p>
        </w:tc>
        <w:tc>
          <w:tcPr>
            <w:shd w:val="clear" w:color="auto" w:fill="182765"/>
            <w:tcBorders>
              <w:left w:val="single" w:color="FFFFFF" w:sz="4" w:space="0"/>
              <w:top w:val="single" w:color="FFFFFF" w:sz="4" w:space="0"/>
              <w:right w:val="single" w:color="FFFFFF" w:sz="4" w:space="0"/>
              <w:bottom w:val="single" w:color="FFFFFF" w:sz="4" w:space="0"/>
            </w:tcBorders>
            <w:tcW w:w="1576" w:type="dxa"/>
            <w:textDirection w:val="lrTb"/>
            <w:noWrap w:val="false"/>
          </w:tcPr>
          <w:p>
            <w:pPr>
              <w:pStyle w:val="249"/>
              <w:jc w:val="center"/>
              <w:rPr>
                <w:b w:val="false"/>
                <w:bCs w:val="false"/>
              </w:rPr>
            </w:pPr>
            <w:r>
              <w:rPr>
                <w:bCs w:val="false"/>
              </w:rPr>
              <w:t xml:space="preserve">% participación de la reunión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FFFFFF" w:sz="4" w:space="0"/>
            </w:tcBorders>
            <w:tcW w:w="2518" w:type="dxa"/>
            <w:vAlign w:val="center"/>
            <w:textDirection w:val="lrTb"/>
            <w:noWrap w:val="false"/>
          </w:tcPr>
          <w:p>
            <w:pPr>
              <w:pStyle w:val="250"/>
              <w:rPr>
                <w:color w:val="auto"/>
              </w:rPr>
            </w:pPr>
            <w:r>
              <w:rPr>
                <w:color w:val="auto"/>
              </w:rPr>
              <w:t xml:space="preserve">CAF</w:t>
            </w:r>
            <w:r/>
          </w:p>
        </w:tc>
        <w:tc>
          <w:tcPr>
            <w:shd w:val="clear" w:color="auto" w:fill="auto"/>
            <w:tcBorders>
              <w:top w:val="single" w:color="FFFFFF" w:sz="4" w:space="0"/>
            </w:tcBorders>
            <w:tcW w:w="4803" w:type="dxa"/>
            <w:vAlign w:val="center"/>
            <w:textDirection w:val="lrTb"/>
            <w:noWrap w:val="false"/>
          </w:tcPr>
          <w:p>
            <w:pPr>
              <w:pStyle w:val="250"/>
              <w:rPr>
                <w:color w:val="auto"/>
              </w:rPr>
            </w:pPr>
            <w:r>
              <w:rPr>
                <w:color w:val="auto"/>
              </w:rPr>
              <w:t xml:space="preserve">María Fernanda Arciniegas</w:t>
            </w:r>
            <w:r/>
          </w:p>
        </w:tc>
        <w:tc>
          <w:tcPr>
            <w:shd w:val="clear" w:color="auto" w:fill="auto"/>
            <w:tcBorders>
              <w:top w:val="single" w:color="FFFFFF" w:sz="4" w:space="0"/>
            </w:tcBorders>
            <w:tcW w:w="1576" w:type="dxa"/>
            <w:vAlign w:val="center"/>
            <w:textDirection w:val="lrTb"/>
            <w:noWrap w:val="false"/>
          </w:tcPr>
          <w:p>
            <w:pPr>
              <w:pStyle w:val="250"/>
              <w:spacing w:after="120" w:before="120"/>
              <w:rPr>
                <w:color w:val="auto"/>
              </w:rPr>
            </w:pPr>
            <w:r>
              <w:rPr>
                <w:color w:val="auto"/>
              </w:rPr>
              <w:t xml:space="preserve">100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FFFFFF" w:sz="4" w:space="0"/>
            </w:tcBorders>
            <w:tcW w:w="2518" w:type="dxa"/>
            <w:vAlign w:val="center"/>
            <w:textDirection w:val="lrTb"/>
            <w:noWrap w:val="false"/>
          </w:tcPr>
          <w:p>
            <w:pPr>
              <w:pStyle w:val="250"/>
              <w:rPr>
                <w:color w:val="auto"/>
              </w:rPr>
            </w:pPr>
            <w:r>
              <w:rPr>
                <w:color w:val="auto"/>
              </w:rPr>
              <w:t xml:space="preserve">CAF</w:t>
            </w:r>
            <w:r/>
          </w:p>
        </w:tc>
        <w:tc>
          <w:tcPr>
            <w:shd w:val="clear" w:color="auto" w:fill="auto"/>
            <w:tcBorders>
              <w:top w:val="single" w:color="FFFFFF" w:sz="4" w:space="0"/>
            </w:tcBorders>
            <w:tcW w:w="4803" w:type="dxa"/>
            <w:vAlign w:val="center"/>
            <w:textDirection w:val="lrTb"/>
            <w:noWrap w:val="false"/>
          </w:tcPr>
          <w:p>
            <w:pPr>
              <w:pStyle w:val="250"/>
              <w:rPr>
                <w:color w:val="auto"/>
              </w:rPr>
            </w:pPr>
            <w:r>
              <w:rPr>
                <w:color w:val="auto"/>
              </w:rPr>
              <w:t xml:space="preserve">Enrique Zapata</w:t>
            </w:r>
            <w:r/>
          </w:p>
        </w:tc>
        <w:tc>
          <w:tcPr>
            <w:shd w:val="clear" w:color="auto" w:fill="auto"/>
            <w:tcBorders>
              <w:top w:val="single" w:color="FFFFFF" w:sz="4" w:space="0"/>
            </w:tcBorders>
            <w:tcW w:w="1576" w:type="dxa"/>
            <w:vAlign w:val="center"/>
            <w:textDirection w:val="lrTb"/>
            <w:noWrap w:val="false"/>
          </w:tcPr>
          <w:p>
            <w:pPr>
              <w:pStyle w:val="250"/>
              <w:spacing w:after="120" w:before="120"/>
              <w:rPr>
                <w:color w:val="auto"/>
              </w:rPr>
            </w:pPr>
            <w:r>
              <w:rPr>
                <w:color w:val="auto"/>
              </w:rPr>
              <w:t xml:space="preserve">100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FFFFFF" w:sz="4" w:space="0"/>
            </w:tcBorders>
            <w:tcW w:w="2518" w:type="dxa"/>
            <w:vAlign w:val="center"/>
            <w:textDirection w:val="lrTb"/>
            <w:noWrap w:val="false"/>
          </w:tcPr>
          <w:p>
            <w:pPr>
              <w:pStyle w:val="250"/>
              <w:rPr>
                <w:color w:val="auto"/>
              </w:rPr>
            </w:pPr>
            <w:r>
              <w:rPr>
                <w:color w:val="auto"/>
              </w:rPr>
              <w:t xml:space="preserve">UNESCO</w:t>
            </w:r>
            <w:r/>
          </w:p>
        </w:tc>
        <w:tc>
          <w:tcPr>
            <w:shd w:val="clear" w:color="auto" w:fill="auto"/>
            <w:tcBorders>
              <w:top w:val="single" w:color="FFFFFF" w:sz="4" w:space="0"/>
            </w:tcBorders>
            <w:tcW w:w="4803" w:type="dxa"/>
            <w:vAlign w:val="center"/>
            <w:textDirection w:val="lrTb"/>
            <w:noWrap w:val="false"/>
          </w:tcPr>
          <w:p>
            <w:pPr>
              <w:pStyle w:val="250"/>
              <w:rPr>
                <w:color w:val="auto"/>
              </w:rPr>
            </w:pPr>
            <w:r>
              <w:rPr>
                <w:color w:val="auto"/>
              </w:rPr>
              <w:t xml:space="preserve">Natalia González</w:t>
            </w:r>
            <w:r/>
          </w:p>
        </w:tc>
        <w:tc>
          <w:tcPr>
            <w:shd w:val="clear" w:color="auto" w:fill="auto"/>
            <w:tcBorders>
              <w:top w:val="single" w:color="FFFFFF" w:sz="4" w:space="0"/>
            </w:tcBorders>
            <w:tcW w:w="1576" w:type="dxa"/>
            <w:vAlign w:val="center"/>
            <w:textDirection w:val="lrTb"/>
            <w:noWrap w:val="false"/>
          </w:tcPr>
          <w:p>
            <w:pPr>
              <w:pStyle w:val="250"/>
              <w:spacing w:after="120" w:before="120"/>
              <w:rPr>
                <w:color w:val="auto"/>
              </w:rPr>
            </w:pPr>
            <w:r>
              <w:rPr>
                <w:color w:val="auto"/>
              </w:rPr>
              <w:t xml:space="preserve">100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FFFFFF" w:sz="4" w:space="0"/>
            </w:tcBorders>
            <w:tcW w:w="2518" w:type="dxa"/>
            <w:vAlign w:val="center"/>
            <w:textDirection w:val="lrTb"/>
            <w:noWrap w:val="false"/>
          </w:tcPr>
          <w:p>
            <w:pPr>
              <w:pStyle w:val="250"/>
              <w:rPr>
                <w:color w:val="auto"/>
              </w:rPr>
            </w:pPr>
            <w:r>
              <w:rPr>
                <w:color w:val="auto"/>
              </w:rPr>
              <w:t xml:space="preserve">Agesic</w:t>
            </w:r>
            <w:r/>
          </w:p>
        </w:tc>
        <w:tc>
          <w:tcPr>
            <w:shd w:val="clear" w:color="auto" w:fill="auto"/>
            <w:tcBorders>
              <w:top w:val="single" w:color="FFFFFF" w:sz="4" w:space="0"/>
            </w:tcBorders>
            <w:tcW w:w="4803" w:type="dxa"/>
            <w:vAlign w:val="center"/>
            <w:textDirection w:val="lrTb"/>
            <w:noWrap w:val="false"/>
          </w:tcPr>
          <w:p>
            <w:pPr>
              <w:pStyle w:val="250"/>
              <w:rPr>
                <w:color w:val="auto"/>
              </w:rPr>
            </w:pPr>
            <w:r>
              <w:rPr>
                <w:color w:val="auto"/>
              </w:rPr>
              <w:t xml:space="preserve">Ninoschka</w:t>
            </w:r>
            <w:r>
              <w:rPr>
                <w:color w:val="auto"/>
              </w:rPr>
              <w:t xml:space="preserve"> Dante</w:t>
            </w:r>
            <w:r/>
          </w:p>
        </w:tc>
        <w:tc>
          <w:tcPr>
            <w:shd w:val="clear" w:color="auto" w:fill="auto"/>
            <w:tcBorders>
              <w:top w:val="single" w:color="FFFFFF" w:sz="4" w:space="0"/>
            </w:tcBorders>
            <w:tcW w:w="1576" w:type="dxa"/>
            <w:vAlign w:val="center"/>
            <w:textDirection w:val="lrTb"/>
            <w:noWrap w:val="false"/>
          </w:tcPr>
          <w:p>
            <w:pPr>
              <w:pStyle w:val="250"/>
              <w:spacing w:after="120" w:before="120"/>
              <w:rPr>
                <w:color w:val="auto"/>
              </w:rPr>
            </w:pPr>
            <w:r>
              <w:rPr>
                <w:color w:val="auto"/>
              </w:rPr>
              <w:t xml:space="preserve">100</w:t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FFFFFF" w:sz="4" w:space="0"/>
            </w:tcBorders>
            <w:tcW w:w="2518" w:type="dxa"/>
            <w:vAlign w:val="center"/>
            <w:textDirection w:val="lrTb"/>
            <w:noWrap w:val="false"/>
          </w:tcPr>
          <w:p>
            <w:pPr>
              <w:pStyle w:val="250"/>
              <w:rPr>
                <w:color w:val="auto"/>
              </w:rPr>
            </w:pPr>
            <w:r>
              <w:rPr>
                <w:color w:val="auto"/>
              </w:rPr>
              <w:t xml:space="preserve">Agesic</w:t>
            </w:r>
            <w:r/>
          </w:p>
        </w:tc>
        <w:tc>
          <w:tcPr>
            <w:shd w:val="clear" w:color="auto" w:fill="auto"/>
            <w:tcBorders>
              <w:top w:val="single" w:color="FFFFFF" w:sz="4" w:space="0"/>
            </w:tcBorders>
            <w:tcW w:w="4803" w:type="dxa"/>
            <w:vAlign w:val="center"/>
            <w:textDirection w:val="lrTb"/>
            <w:noWrap w:val="false"/>
          </w:tcPr>
          <w:p>
            <w:pPr>
              <w:pStyle w:val="250"/>
              <w:rPr>
                <w:color w:val="auto"/>
              </w:rPr>
            </w:pPr>
            <w:r>
              <w:rPr>
                <w:color w:val="auto"/>
              </w:rPr>
              <w:t xml:space="preserve">Noelia Rodríguez</w:t>
            </w:r>
            <w:r/>
          </w:p>
        </w:tc>
        <w:tc>
          <w:tcPr>
            <w:shd w:val="clear" w:color="auto" w:fill="auto"/>
            <w:tcBorders>
              <w:top w:val="single" w:color="FFFFFF" w:sz="4" w:space="0"/>
            </w:tcBorders>
            <w:tcW w:w="1576" w:type="dxa"/>
            <w:vAlign w:val="center"/>
            <w:textDirection w:val="lrTb"/>
            <w:noWrap w:val="false"/>
          </w:tcPr>
          <w:p>
            <w:pPr>
              <w:pStyle w:val="250"/>
              <w:spacing w:after="120" w:before="120"/>
              <w:rPr>
                <w:color w:val="auto"/>
              </w:rPr>
            </w:pPr>
            <w:r>
              <w:rPr>
                <w:color w:val="auto"/>
              </w:rPr>
              <w:t xml:space="preserve">100</w:t>
            </w:r>
            <w:r/>
          </w:p>
        </w:tc>
      </w:tr>
      <w:tr>
        <w:trPr/>
        <w:tc>
          <w:tcPr>
            <w:shd w:val="clear" w:color="auto" w:fill="auto"/>
            <w:tcW w:w="2518" w:type="dxa"/>
            <w:vAlign w:val="center"/>
            <w:textDirection w:val="lrTb"/>
            <w:noWrap w:val="false"/>
          </w:tcPr>
          <w:p>
            <w:pPr>
              <w:pStyle w:val="250"/>
              <w:rPr>
                <w:color w:val="auto"/>
              </w:rPr>
            </w:pPr>
            <w:r>
              <w:rPr>
                <w:color w:val="auto"/>
              </w:rPr>
              <w:t xml:space="preserve">Agesic</w:t>
            </w:r>
            <w:r/>
          </w:p>
        </w:tc>
        <w:tc>
          <w:tcPr>
            <w:shd w:val="clear" w:color="auto" w:fill="auto"/>
            <w:tcW w:w="4803" w:type="dxa"/>
            <w:vAlign w:val="center"/>
            <w:textDirection w:val="lrTb"/>
            <w:noWrap w:val="false"/>
          </w:tcPr>
          <w:p>
            <w:pPr>
              <w:pStyle w:val="250"/>
              <w:rPr>
                <w:color w:val="auto"/>
              </w:rPr>
            </w:pPr>
            <w:r>
              <w:rPr>
                <w:color w:val="auto"/>
              </w:rPr>
              <w:t xml:space="preserve">Leticia Hernández</w:t>
            </w:r>
            <w:r/>
          </w:p>
        </w:tc>
        <w:tc>
          <w:tcPr>
            <w:shd w:val="clear" w:color="auto" w:fill="auto"/>
            <w:tcW w:w="1576" w:type="dxa"/>
            <w:vAlign w:val="center"/>
            <w:textDirection w:val="lrTb"/>
            <w:noWrap w:val="false"/>
          </w:tcPr>
          <w:p>
            <w:pPr>
              <w:pStyle w:val="250"/>
              <w:spacing w:after="120" w:before="120"/>
              <w:rPr>
                <w:color w:val="auto"/>
              </w:rPr>
            </w:pPr>
            <w:r>
              <w:rPr>
                <w:color w:val="auto"/>
              </w:rPr>
              <w:t xml:space="preserve">100</w:t>
            </w:r>
            <w:r/>
          </w:p>
        </w:tc>
      </w:tr>
    </w:tbl>
    <w:p>
      <w:pPr>
        <w:pStyle w:val="247"/>
        <w:ind w:left="0"/>
        <w:rPr>
          <w:color w:val="auto"/>
          <w:sz w:val="32"/>
        </w:rPr>
      </w:pPr>
      <w:r>
        <w:rPr>
          <w:color w:val="auto"/>
          <w:sz w:val="32"/>
        </w:rPr>
      </w:r>
      <w:r/>
    </w:p>
    <w:p>
      <w:pPr>
        <w:pStyle w:val="247"/>
        <w:ind w:left="0"/>
        <w:rPr>
          <w:color w:val="auto"/>
        </w:rPr>
      </w:pPr>
      <w:r>
        <w:rPr>
          <w:color w:val="auto"/>
          <w:sz w:val="32"/>
        </w:rPr>
        <w:t xml:space="preserve">Agenda</w:t>
      </w:r>
      <w:r/>
    </w:p>
    <w:p>
      <w:pPr>
        <w:pStyle w:val="244"/>
        <w:rPr>
          <w:color w:val="auto"/>
          <w:lang w:eastAsia="es-UY"/>
        </w:rPr>
      </w:pPr>
      <w:r>
        <w:rPr>
          <w:color w:val="auto"/>
          <w:lang w:eastAsia="es-UY"/>
        </w:rPr>
        <w:t xml:space="preserve">Temas por tratar:</w:t>
      </w:r>
      <w:r/>
    </w:p>
    <w:p>
      <w:pPr>
        <w:pStyle w:val="244"/>
        <w:numPr>
          <w:ilvl w:val="0"/>
          <w:numId w:val="3"/>
        </w:numPr>
        <w:rPr>
          <w:color w:val="auto"/>
          <w:lang w:eastAsia="es-UY"/>
        </w:rPr>
      </w:pPr>
      <w:r>
        <w:rPr>
          <w:color w:val="auto"/>
          <w:lang w:eastAsia="es-UY"/>
        </w:rPr>
        <w:t xml:space="preserve">Avances del sitio web del GT y Cumbres.</w:t>
      </w:r>
      <w:r/>
    </w:p>
    <w:p>
      <w:pPr>
        <w:pStyle w:val="244"/>
        <w:numPr>
          <w:ilvl w:val="0"/>
          <w:numId w:val="3"/>
        </w:numPr>
        <w:rPr>
          <w:color w:val="auto"/>
          <w:lang w:eastAsia="es-UY"/>
        </w:rPr>
      </w:pPr>
      <w:r>
        <w:rPr>
          <w:color w:val="auto"/>
          <w:lang w:eastAsia="es-UY"/>
        </w:rPr>
        <w:t xml:space="preserve">Articulación de ámbitos regionales e internacionales: Próximos pasos</w:t>
      </w:r>
      <w:r/>
    </w:p>
    <w:p>
      <w:pPr>
        <w:pStyle w:val="244"/>
        <w:numPr>
          <w:ilvl w:val="0"/>
          <w:numId w:val="3"/>
        </w:numPr>
        <w:rPr>
          <w:color w:val="auto"/>
          <w:lang w:eastAsia="es-UY"/>
        </w:rPr>
      </w:pPr>
      <w:r>
        <w:rPr>
          <w:color w:val="auto"/>
          <w:lang w:eastAsia="es-UY"/>
        </w:rPr>
        <w:t xml:space="preserve">Definir agenda para reunión del GT.</w:t>
      </w:r>
      <w:r/>
    </w:p>
    <w:p>
      <w:r/>
      <w:r/>
    </w:p>
    <w:p>
      <w:pPr>
        <w:pStyle w:val="247"/>
        <w:ind w:left="0"/>
        <w:rPr>
          <w:color w:val="auto"/>
          <w:sz w:val="32"/>
        </w:rPr>
      </w:pPr>
      <w:r>
        <w:rPr>
          <w:color w:val="auto"/>
          <w:sz w:val="32"/>
        </w:rPr>
        <w:t xml:space="preserve">Desarrollo de la reunión:</w:t>
      </w:r>
      <w:r/>
    </w:p>
    <w:p>
      <w:pPr>
        <w:pStyle w:val="244"/>
        <w:numPr>
          <w:ilvl w:val="0"/>
          <w:numId w:val="6"/>
        </w:numPr>
        <w:rPr>
          <w:color w:val="auto"/>
          <w:lang w:eastAsia="es-UY"/>
        </w:rPr>
      </w:pPr>
      <w:r>
        <w:rPr>
          <w:b/>
          <w:bCs/>
          <w:color w:val="auto"/>
          <w:lang w:eastAsia="es-UY"/>
        </w:rPr>
        <w:t xml:space="preserve">Avances del sitio web del GT y Cumbres</w:t>
      </w:r>
      <w:r/>
    </w:p>
    <w:p>
      <w:pPr>
        <w:pStyle w:val="244"/>
        <w:rPr>
          <w:color w:val="auto"/>
          <w:lang w:eastAsia="es-UY"/>
        </w:rPr>
      </w:pPr>
      <w:r>
        <w:rPr>
          <w:b/>
          <w:bCs/>
          <w:color w:val="auto"/>
          <w:lang w:eastAsia="es-UY"/>
        </w:rPr>
        <w:t xml:space="preserve">Natalia González, UNESCO.</w:t>
      </w:r>
      <w:r>
        <w:rPr>
          <w:color w:val="auto"/>
          <w:lang w:eastAsia="es-UY"/>
        </w:rPr>
        <w:t xml:space="preserve"> Realiza una breve presentación de la estructura y textos propuestos para el sitio web para la difusión y visibilidad del Grupo de Trabajo y los subgrupos temáticos.</w:t>
      </w:r>
      <w:r/>
    </w:p>
    <w:p>
      <w:pPr>
        <w:pStyle w:val="244"/>
        <w:rPr>
          <w:color w:val="auto"/>
          <w:lang w:eastAsia="es-UY"/>
        </w:rPr>
      </w:pPr>
      <w:r>
        <w:rPr>
          <w:color w:val="auto"/>
          <w:lang w:eastAsia="es-UY"/>
        </w:rPr>
        <w:t xml:space="preserve">Se propone que se estructure en 3 partes: 1. Grupo regional, 2. Cumbres, 3. Recursos.</w:t>
      </w:r>
      <w:r/>
    </w:p>
    <w:p>
      <w:pPr>
        <w:pStyle w:val="244"/>
        <w:rPr>
          <w:color w:val="auto"/>
          <w:lang w:eastAsia="es-UY"/>
        </w:rPr>
      </w:pPr>
      <w:r>
        <w:rPr>
          <w:color w:val="auto"/>
          <w:lang w:eastAsia="es-UY"/>
        </w:rPr>
        <w:t xml:space="preserve">En el siguiente enlace se puede acceder a la estructura y textos propuestos: </w:t>
      </w:r>
      <w:hyperlink r:id="rId11" w:history="1">
        <w:r>
          <w:rPr>
            <w:rStyle w:val="215"/>
            <w:lang w:eastAsia="es-UY"/>
          </w:rPr>
          <w:t xml:space="preserve">https://archivos.agesic.gub.uy/nextcloud/index.php/s/GcsgR95wmzPtfTj</w:t>
        </w:r>
      </w:hyperlink>
      <w:r>
        <w:rPr>
          <w:color w:val="auto"/>
          <w:lang w:eastAsia="es-UY"/>
        </w:rPr>
        <w:t xml:space="preserve"> </w:t>
      </w:r>
      <w:r/>
    </w:p>
    <w:p>
      <w:pPr>
        <w:pStyle w:val="244"/>
        <w:rPr>
          <w:color w:val="auto"/>
          <w:lang w:eastAsia="es-UY"/>
        </w:rPr>
      </w:pPr>
      <w:r>
        <w:rPr>
          <w:b/>
          <w:bCs/>
          <w:color w:val="auto"/>
          <w:lang w:eastAsia="es-UY"/>
        </w:rPr>
        <w:t xml:space="preserve">Ninoschka</w:t>
      </w:r>
      <w:r>
        <w:rPr>
          <w:b/>
          <w:bCs/>
          <w:color w:val="auto"/>
          <w:lang w:eastAsia="es-UY"/>
        </w:rPr>
        <w:t xml:space="preserve"> Dante, </w:t>
      </w:r>
      <w:r>
        <w:rPr>
          <w:b/>
          <w:bCs/>
          <w:color w:val="auto"/>
          <w:lang w:eastAsia="es-UY"/>
        </w:rPr>
        <w:t xml:space="preserve">Agesic</w:t>
      </w:r>
      <w:r>
        <w:rPr>
          <w:b/>
          <w:bCs/>
          <w:color w:val="auto"/>
          <w:lang w:eastAsia="es-UY"/>
        </w:rPr>
        <w:t xml:space="preserve">.</w:t>
      </w:r>
      <w:r>
        <w:rPr>
          <w:color w:val="auto"/>
          <w:lang w:eastAsia="es-UY"/>
        </w:rPr>
        <w:t xml:space="preserve"> Recomienda agregar los siguientes componentes “Novedades” y “Agenda”</w:t>
      </w:r>
      <w:r>
        <w:rPr>
          <w:color w:val="auto"/>
          <w:lang w:eastAsia="es-UY"/>
        </w:rPr>
        <w:t xml:space="preserve">, y que la página web sea dinámica. En este sentido, recomienda pensar, más que en los contenidos, en los componentes del sitio web.</w:t>
      </w:r>
      <w:r/>
    </w:p>
    <w:p>
      <w:pPr>
        <w:pStyle w:val="244"/>
        <w:rPr>
          <w:color w:val="auto"/>
          <w:lang w:eastAsia="es-UY"/>
        </w:rPr>
      </w:pPr>
      <w:r>
        <w:rPr>
          <w:color w:val="auto"/>
          <w:lang w:eastAsia="es-UY"/>
        </w:rPr>
        <w:t xml:space="preserve">En el componente “Recursos”, se podrían categorizar por ejemplo por temáticas</w:t>
      </w:r>
      <w:r>
        <w:rPr>
          <w:color w:val="auto"/>
          <w:lang w:eastAsia="es-UY"/>
        </w:rPr>
        <w:t xml:space="preserve"> y por tipo/formato de recurso</w:t>
      </w:r>
      <w:r>
        <w:rPr>
          <w:color w:val="auto"/>
          <w:lang w:eastAsia="es-UY"/>
        </w:rPr>
        <w:t xml:space="preserve">, esto facilitaría la búsqueda de documentos.</w:t>
      </w:r>
      <w:r/>
    </w:p>
    <w:p>
      <w:pPr>
        <w:pStyle w:val="244"/>
        <w:rPr>
          <w:color w:val="auto"/>
          <w:lang w:eastAsia="es-UY"/>
        </w:rPr>
      </w:pPr>
      <w:r>
        <w:rPr>
          <w:b/>
          <w:bCs/>
          <w:color w:val="auto"/>
          <w:lang w:eastAsia="es-UY"/>
        </w:rPr>
        <w:t xml:space="preserve">Natalia González, UNESCO.</w:t>
      </w:r>
      <w:r>
        <w:rPr>
          <w:b/>
          <w:bCs/>
          <w:color w:val="auto"/>
          <w:lang w:eastAsia="es-UY"/>
        </w:rPr>
        <w:t xml:space="preserve"> </w:t>
      </w:r>
      <w:r>
        <w:rPr>
          <w:color w:val="auto"/>
          <w:lang w:eastAsia="es-UY"/>
        </w:rPr>
        <w:t xml:space="preserve">Agrega que está de acuerdo con los aportes de Agesic y que los transmitirá al equipo de Comunicación de </w:t>
      </w:r>
      <w:r>
        <w:rPr>
          <w:color w:val="auto"/>
          <w:lang w:eastAsia="es-UY"/>
        </w:rPr>
        <w:t xml:space="preserve">Unesco</w:t>
      </w:r>
      <w:r>
        <w:rPr>
          <w:color w:val="auto"/>
          <w:lang w:eastAsia="es-UY"/>
        </w:rPr>
        <w:t xml:space="preserve"> </w:t>
      </w:r>
      <w:r>
        <w:rPr>
          <w:color w:val="auto"/>
          <w:lang w:eastAsia="es-UY"/>
        </w:rPr>
        <w:t xml:space="preserve">para validar.</w:t>
      </w:r>
      <w:r/>
    </w:p>
    <w:p>
      <w:pPr>
        <w:pStyle w:val="244"/>
        <w:rPr>
          <w:color w:val="auto"/>
          <w:lang w:eastAsia="es-UY"/>
        </w:rPr>
      </w:pPr>
      <w:r>
        <w:rPr>
          <w:b/>
          <w:bCs/>
          <w:color w:val="auto"/>
          <w:lang w:eastAsia="es-UY"/>
        </w:rPr>
        <w:t xml:space="preserve">Enrique Zapata, CAF.</w:t>
      </w:r>
      <w:r>
        <w:rPr>
          <w:color w:val="auto"/>
          <w:lang w:eastAsia="es-UY"/>
        </w:rPr>
        <w:t xml:space="preserve"> Consulta sobre la ubicación de los logos institucionales.</w:t>
      </w:r>
      <w:r/>
    </w:p>
    <w:p>
      <w:pPr>
        <w:pStyle w:val="244"/>
        <w:rPr>
          <w:color w:val="auto"/>
          <w:lang w:eastAsia="es-UY"/>
        </w:rPr>
      </w:pPr>
      <w:r>
        <w:rPr>
          <w:b/>
          <w:bCs/>
          <w:color w:val="auto"/>
          <w:lang w:eastAsia="es-UY"/>
        </w:rPr>
        <w:t xml:space="preserve">Natalia González, UNESCO.</w:t>
      </w:r>
      <w:r>
        <w:rPr>
          <w:b/>
          <w:bCs/>
          <w:color w:val="auto"/>
          <w:lang w:eastAsia="es-UY"/>
        </w:rPr>
        <w:t xml:space="preserve"> </w:t>
      </w:r>
      <w:r>
        <w:rPr>
          <w:color w:val="auto"/>
          <w:lang w:eastAsia="es-UY"/>
        </w:rPr>
        <w:t xml:space="preserve">Sobre el comentario anterior de CAF, se estará realizando la consulta y lo comunican por correo</w:t>
      </w:r>
      <w:r>
        <w:rPr>
          <w:b/>
          <w:bCs/>
          <w:color w:val="auto"/>
          <w:lang w:eastAsia="es-UY"/>
        </w:rPr>
        <w:t xml:space="preserve"> </w:t>
      </w:r>
      <w:r/>
    </w:p>
    <w:p>
      <w:pPr>
        <w:pStyle w:val="244"/>
        <w:rPr>
          <w:color w:val="auto"/>
          <w:lang w:eastAsia="es-UY"/>
        </w:rPr>
      </w:pPr>
      <w:r>
        <w:rPr>
          <w:color w:val="auto"/>
          <w:lang w:eastAsia="es-UY"/>
        </w:rPr>
        <w:t xml:space="preserve">De acuerdo con la presentación realizada y los aportes recibidos, realizarán un boceto para validar en este grupo.</w:t>
      </w:r>
      <w:r/>
    </w:p>
    <w:p>
      <w:pPr>
        <w:pStyle w:val="244"/>
        <w:rPr>
          <w:color w:val="auto"/>
          <w:lang w:eastAsia="es-UY"/>
        </w:rPr>
      </w:pPr>
      <w:r>
        <w:rPr>
          <w:b/>
          <w:bCs/>
          <w:color w:val="auto"/>
          <w:lang w:eastAsia="es-UY"/>
        </w:rPr>
        <w:t xml:space="preserve">Ninoschka</w:t>
      </w:r>
      <w:r>
        <w:rPr>
          <w:b/>
          <w:bCs/>
          <w:color w:val="auto"/>
          <w:lang w:eastAsia="es-UY"/>
        </w:rPr>
        <w:t xml:space="preserve"> Dante, </w:t>
      </w:r>
      <w:r>
        <w:rPr>
          <w:b/>
          <w:bCs/>
          <w:color w:val="auto"/>
          <w:lang w:eastAsia="es-UY"/>
        </w:rPr>
        <w:t xml:space="preserve">Agesic</w:t>
      </w:r>
      <w:r>
        <w:rPr>
          <w:b/>
          <w:bCs/>
          <w:color w:val="auto"/>
          <w:lang w:eastAsia="es-UY"/>
        </w:rPr>
        <w:t xml:space="preserve">.</w:t>
      </w:r>
      <w:r>
        <w:rPr>
          <w:color w:val="auto"/>
          <w:lang w:eastAsia="es-UY"/>
        </w:rPr>
        <w:t xml:space="preserve"> Recomienda considerar el tema de la accesibilidad, para que el mismo cumpla con las pautas W3C.</w:t>
      </w:r>
      <w:r/>
    </w:p>
    <w:p>
      <w:pPr>
        <w:pStyle w:val="244"/>
        <w:rPr>
          <w:b/>
          <w:bCs/>
          <w:color w:val="auto"/>
          <w:lang w:eastAsia="es-UY"/>
        </w:rPr>
      </w:pPr>
      <w:r>
        <w:rPr>
          <w:b/>
          <w:bCs/>
          <w:color w:val="auto"/>
          <w:lang w:eastAsia="es-UY"/>
        </w:rPr>
      </w:r>
      <w:r/>
    </w:p>
    <w:p>
      <w:pPr>
        <w:pStyle w:val="244"/>
        <w:numPr>
          <w:ilvl w:val="0"/>
          <w:numId w:val="6"/>
        </w:numPr>
        <w:rPr>
          <w:b/>
          <w:bCs/>
          <w:color w:val="auto"/>
          <w:lang w:eastAsia="es-UY"/>
        </w:rPr>
      </w:pPr>
      <w:r>
        <w:rPr>
          <w:b/>
          <w:bCs/>
          <w:color w:val="auto"/>
          <w:lang w:eastAsia="es-UY"/>
        </w:rPr>
        <w:t xml:space="preserve">Articulación de ámbitos regionales e internacionales: Próximos pasos</w:t>
      </w:r>
      <w:r/>
    </w:p>
    <w:p>
      <w:pPr>
        <w:pStyle w:val="244"/>
        <w:rPr>
          <w:b/>
          <w:bCs/>
          <w:color w:val="auto"/>
          <w:lang w:val="es-UY" w:eastAsia="es-UY"/>
        </w:rPr>
      </w:pPr>
      <w:r>
        <w:rPr>
          <w:b/>
          <w:bCs/>
          <w:color w:val="auto"/>
          <w:lang w:val="es-UY" w:eastAsia="es-UY"/>
        </w:rPr>
        <w:t xml:space="preserve">Ninoschka</w:t>
      </w:r>
      <w:r>
        <w:rPr>
          <w:b/>
          <w:bCs/>
          <w:color w:val="auto"/>
          <w:lang w:val="es-UY" w:eastAsia="es-UY"/>
        </w:rPr>
        <w:t xml:space="preserve"> Dante, </w:t>
      </w:r>
      <w:r>
        <w:rPr>
          <w:b/>
          <w:bCs/>
          <w:color w:val="auto"/>
          <w:lang w:val="es-UY" w:eastAsia="es-UY"/>
        </w:rPr>
        <w:t xml:space="preserve">Agesic</w:t>
      </w:r>
      <w:r>
        <w:rPr>
          <w:b/>
          <w:bCs/>
          <w:color w:val="auto"/>
          <w:lang w:val="es-UY" w:eastAsia="es-UY"/>
        </w:rPr>
        <w:t xml:space="preserve">. </w:t>
      </w:r>
      <w:r>
        <w:rPr>
          <w:color w:val="auto"/>
          <w:lang w:val="es-UY" w:eastAsia="es-UY"/>
        </w:rPr>
        <w:t xml:space="preserve">Plantea que una vez que se </w:t>
      </w:r>
      <w:r>
        <w:rPr>
          <w:color w:val="auto"/>
          <w:lang w:val="es-UY" w:eastAsia="es-UY"/>
        </w:rPr>
        <w:t xml:space="preserve">disponibilice</w:t>
      </w:r>
      <w:r>
        <w:rPr>
          <w:color w:val="auto"/>
          <w:lang w:val="es-UY" w:eastAsia="es-UY"/>
        </w:rPr>
        <w:t xml:space="preserve"> el sitio web, </w:t>
      </w:r>
      <w:r>
        <w:rPr>
          <w:color w:val="auto"/>
          <w:lang w:val="es-UY" w:eastAsia="es-UY"/>
        </w:rPr>
        <w:t xml:space="preserve">se avanzará en </w:t>
      </w:r>
      <w:r>
        <w:rPr>
          <w:color w:val="auto"/>
          <w:lang w:val="es-UY" w:eastAsia="es-UY"/>
        </w:rPr>
        <w:t xml:space="preserve">las acciones definidas en el Plan de trabajo.</w:t>
      </w:r>
      <w:r/>
    </w:p>
    <w:p>
      <w:pPr>
        <w:pStyle w:val="244"/>
        <w:rPr>
          <w:color w:val="auto"/>
          <w:lang w:val="es-UY" w:eastAsia="es-UY"/>
        </w:rPr>
      </w:pPr>
      <w:r>
        <w:rPr>
          <w:color w:val="auto"/>
          <w:lang w:val="es-UY" w:eastAsia="es-UY"/>
        </w:rPr>
        <w:t xml:space="preserve">En este sentido, en las próximas acciones en las cuales se estará avanzando en:</w:t>
      </w:r>
      <w:r/>
    </w:p>
    <w:p>
      <w:pPr>
        <w:pStyle w:val="244"/>
        <w:numPr>
          <w:ilvl w:val="0"/>
          <w:numId w:val="5"/>
        </w:numPr>
        <w:rPr>
          <w:color w:val="auto"/>
          <w:lang w:val="es-UY" w:eastAsia="es-UY"/>
        </w:rPr>
      </w:pPr>
      <w:r>
        <w:rPr>
          <w:color w:val="auto"/>
          <w:lang w:val="es-UY" w:eastAsia="es-UY"/>
        </w:rPr>
        <w:t xml:space="preserve">Establecer contacto con el país y/u organización coordinadora del espacio y/o ámbito.</w:t>
      </w:r>
      <w:r/>
    </w:p>
    <w:p>
      <w:pPr>
        <w:pStyle w:val="244"/>
        <w:numPr>
          <w:ilvl w:val="0"/>
          <w:numId w:val="5"/>
        </w:numPr>
        <w:rPr>
          <w:color w:val="auto"/>
          <w:lang w:val="es-UY" w:eastAsia="es-UY"/>
        </w:rPr>
      </w:pPr>
      <w:r>
        <w:rPr>
          <w:color w:val="auto"/>
          <w:lang w:val="es-UY" w:eastAsia="es-UY"/>
        </w:rPr>
        <w:t xml:space="preserve">Realizar una revisión si los espacios y/o ámbitos con los cuales se realizó contacto, cuentan con un plan de trabajo, Hoja de Ruta, y/o documento que establezcan las acciones de este.</w:t>
      </w:r>
      <w:r/>
    </w:p>
    <w:p>
      <w:pPr>
        <w:pStyle w:val="244"/>
        <w:numPr>
          <w:ilvl w:val="0"/>
          <w:numId w:val="5"/>
        </w:numPr>
        <w:rPr>
          <w:color w:val="auto"/>
          <w:lang w:val="es-UY" w:eastAsia="es-UY"/>
        </w:rPr>
      </w:pPr>
      <w:r>
        <w:rPr>
          <w:color w:val="auto"/>
          <w:lang w:val="es-UY" w:eastAsia="es-UY"/>
        </w:rPr>
        <w:t xml:space="preserve">Elaborar un </w:t>
      </w:r>
      <w:r>
        <w:rPr>
          <w:i/>
          <w:iCs/>
          <w:color w:val="auto"/>
          <w:lang w:val="es-UY" w:eastAsia="es-UY"/>
        </w:rPr>
        <w:t xml:space="preserve">brief</w:t>
      </w:r>
      <w:r>
        <w:rPr>
          <w:i/>
          <w:iCs/>
          <w:color w:val="auto"/>
          <w:lang w:val="es-UY" w:eastAsia="es-UY"/>
        </w:rPr>
        <w:t xml:space="preserve"> </w:t>
      </w:r>
      <w:r>
        <w:rPr>
          <w:color w:val="auto"/>
          <w:lang w:val="es-UY" w:eastAsia="es-UY"/>
        </w:rPr>
        <w:t xml:space="preserve">de lo que es el GT, que se pueda compartir con las organizaciones externas con las cuales se proyecta conversar de cara a posibles alianzas o sinergias.</w:t>
      </w:r>
      <w:r/>
    </w:p>
    <w:p>
      <w:pPr>
        <w:pStyle w:val="244"/>
        <w:numPr>
          <w:ilvl w:val="0"/>
          <w:numId w:val="6"/>
        </w:numPr>
        <w:rPr>
          <w:b/>
          <w:bCs/>
          <w:color w:val="auto"/>
          <w:lang w:val="es-UY" w:eastAsia="es-UY"/>
        </w:rPr>
      </w:pPr>
      <w:r>
        <w:rPr>
          <w:b/>
          <w:bCs/>
          <w:color w:val="auto"/>
          <w:lang w:val="es-UY" w:eastAsia="es-UY"/>
        </w:rPr>
        <w:t xml:space="preserve">Definir agenda de la reunión del GT</w:t>
      </w:r>
      <w:r/>
    </w:p>
    <w:p>
      <w:pPr>
        <w:pStyle w:val="244"/>
        <w:rPr>
          <w:color w:val="auto"/>
          <w:lang w:val="es-UY" w:eastAsia="es-UY"/>
        </w:rPr>
      </w:pPr>
      <w:r>
        <w:rPr>
          <w:color w:val="auto"/>
          <w:lang w:val="es-UY" w:eastAsia="es-UY"/>
        </w:rPr>
        <w:t xml:space="preserve">La próxima reunión del GT es el jueves 20 de enero, a las 11 horas (hora UY).</w:t>
      </w:r>
      <w:r/>
    </w:p>
    <w:p>
      <w:pPr>
        <w:pStyle w:val="244"/>
        <w:rPr>
          <w:color w:val="auto"/>
          <w:lang w:val="es-UY" w:eastAsia="es-UY"/>
        </w:rPr>
      </w:pPr>
      <w:r>
        <w:rPr>
          <w:color w:val="auto"/>
          <w:lang w:val="es-UY" w:eastAsia="es-UY"/>
        </w:rPr>
        <w:t xml:space="preserve">Se acuerdan los siguientes temas:</w:t>
      </w:r>
      <w:r/>
    </w:p>
    <w:p>
      <w:pPr>
        <w:pStyle w:val="244"/>
        <w:numPr>
          <w:ilvl w:val="0"/>
          <w:numId w:val="7"/>
        </w:numPr>
        <w:rPr>
          <w:color w:val="auto"/>
          <w:lang w:val="es-UY" w:eastAsia="es-UY"/>
        </w:rPr>
      </w:pPr>
      <w:r>
        <w:rPr>
          <w:color w:val="auto"/>
          <w:lang w:val="es-UY" w:eastAsia="es-UY"/>
        </w:rPr>
        <w:t xml:space="preserve">Temas generales: 1. Avances de los subgrupos que ya realizaron la primera reunión; 2. Articulación espacios internacionales (próximas acciones).</w:t>
      </w:r>
      <w:r/>
    </w:p>
    <w:p>
      <w:pPr>
        <w:pStyle w:val="244"/>
        <w:numPr>
          <w:ilvl w:val="0"/>
          <w:numId w:val="7"/>
        </w:numPr>
        <w:rPr>
          <w:color w:val="auto"/>
          <w:lang w:val="es-UY" w:eastAsia="es-UY"/>
        </w:rPr>
      </w:pPr>
      <w:r>
        <w:rPr>
          <w:color w:val="auto"/>
          <w:lang w:val="es-UY" w:eastAsia="es-UY"/>
        </w:rPr>
        <w:t xml:space="preserve">AI </w:t>
      </w:r>
      <w:r>
        <w:rPr>
          <w:color w:val="auto"/>
          <w:lang w:val="es-UY" w:eastAsia="es-UY"/>
        </w:rPr>
        <w:t xml:space="preserve">Action</w:t>
      </w:r>
      <w:r>
        <w:rPr>
          <w:color w:val="auto"/>
          <w:lang w:val="es-UY" w:eastAsia="es-UY"/>
        </w:rPr>
        <w:t xml:space="preserve"> Summit – París: Aportes de los integrantes del GT que participaron.</w:t>
      </w:r>
      <w:r/>
    </w:p>
    <w:p>
      <w:pPr>
        <w:pStyle w:val="244"/>
        <w:numPr>
          <w:ilvl w:val="0"/>
          <w:numId w:val="7"/>
        </w:numPr>
        <w:rPr>
          <w:color w:val="auto"/>
          <w:lang w:val="es-UY" w:eastAsia="es-UY"/>
        </w:rPr>
      </w:pPr>
      <w:r>
        <w:rPr>
          <w:color w:val="auto"/>
          <w:lang w:val="es-UY" w:eastAsia="es-UY"/>
        </w:rPr>
        <w:t xml:space="preserve">Proyecto ‘Gran Modelo de Lenguaje Abierto Latinoamericano: </w:t>
      </w:r>
      <w:r>
        <w:rPr>
          <w:color w:val="auto"/>
          <w:lang w:val="es-UY" w:eastAsia="es-UY"/>
        </w:rPr>
        <w:t xml:space="preserve">Latam</w:t>
      </w:r>
      <w:r>
        <w:rPr>
          <w:color w:val="auto"/>
          <w:lang w:val="es-UY" w:eastAsia="es-UY"/>
        </w:rPr>
        <w:t xml:space="preserve">-GPT’: Presentación del proyecto por parte de los representantes del GT (tentativo).</w:t>
      </w:r>
      <w:r/>
    </w:p>
    <w:p>
      <w:pPr>
        <w:pStyle w:val="244"/>
        <w:numPr>
          <w:ilvl w:val="0"/>
          <w:numId w:val="7"/>
        </w:numPr>
        <w:rPr>
          <w:color w:val="auto"/>
          <w:lang w:val="es-UY" w:eastAsia="es-UY"/>
        </w:rPr>
      </w:pPr>
      <w:r>
        <w:rPr>
          <w:color w:val="auto"/>
          <w:lang w:val="es-UY" w:eastAsia="es-UY"/>
        </w:rPr>
        <w:t xml:space="preserve">Espacio para que las y los representantes del GT cuenten con su espacio para presentar novedades: República Dominicana presente el evento de Innovación a desarrollar en abril 2025. Alcance y objetivos.</w:t>
      </w:r>
      <w:r/>
    </w:p>
    <w:p>
      <w:pPr>
        <w:pStyle w:val="244"/>
        <w:rPr>
          <w:b/>
          <w:bCs/>
          <w:color w:val="auto"/>
          <w:lang w:eastAsia="es-UY"/>
        </w:rPr>
      </w:pPr>
      <w:r>
        <w:rPr>
          <w:b/>
          <w:bCs/>
          <w:color w:val="auto"/>
          <w:lang w:eastAsia="es-UY"/>
        </w:rPr>
        <w:t xml:space="preserve">Otros temas</w:t>
      </w:r>
      <w:r>
        <w:rPr>
          <w:b/>
          <w:bCs/>
          <w:color w:val="auto"/>
          <w:lang w:eastAsia="es-UY"/>
        </w:rPr>
        <w:t xml:space="preserve"> operativos:</w:t>
      </w:r>
      <w:r/>
    </w:p>
    <w:p>
      <w:pPr>
        <w:pStyle w:val="244"/>
        <w:rPr>
          <w:color w:val="auto"/>
          <w:lang w:eastAsia="es-UY"/>
        </w:rPr>
      </w:pPr>
      <w:r>
        <w:rPr>
          <w:b/>
          <w:bCs/>
          <w:color w:val="auto"/>
          <w:lang w:eastAsia="es-UY"/>
        </w:rPr>
        <w:t xml:space="preserve">Cuba y Honduras: </w:t>
      </w:r>
      <w:r>
        <w:rPr>
          <w:color w:val="auto"/>
          <w:lang w:eastAsia="es-UY"/>
        </w:rPr>
        <w:t xml:space="preserve">Aún no han designado puntos focales, ni han seleccionado los subgrupos temáticos a integrar.</w:t>
      </w:r>
      <w:r/>
    </w:p>
    <w:p>
      <w:pPr>
        <w:pStyle w:val="244"/>
        <w:rPr>
          <w:color w:val="auto"/>
          <w:lang w:eastAsia="es-UY"/>
        </w:rPr>
      </w:pPr>
      <w:r>
        <w:rPr>
          <w:color w:val="auto"/>
          <w:lang w:eastAsia="es-UY"/>
        </w:rPr>
        <w:t xml:space="preserve">UNESCO</w:t>
      </w:r>
      <w:r>
        <w:rPr>
          <w:color w:val="auto"/>
          <w:lang w:eastAsia="es-UY"/>
        </w:rPr>
        <w:t xml:space="preserve">, a través de sus oficinas locales en estos países han estado haciendo sus contactos. En el caso de </w:t>
      </w:r>
      <w:r>
        <w:rPr>
          <w:color w:val="auto"/>
          <w:lang w:eastAsia="es-UY"/>
        </w:rPr>
        <w:t xml:space="preserve">C</w:t>
      </w:r>
      <w:r>
        <w:rPr>
          <w:color w:val="auto"/>
          <w:lang w:eastAsia="es-UY"/>
        </w:rPr>
        <w:t xml:space="preserve">uba</w:t>
      </w:r>
      <w:r>
        <w:rPr>
          <w:color w:val="auto"/>
          <w:lang w:eastAsia="es-UY"/>
        </w:rPr>
        <w:t xml:space="preserve">, están realizando la RAM por lo cual hay mayor contacto.</w:t>
      </w:r>
      <w:r/>
    </w:p>
    <w:p>
      <w:pPr>
        <w:pStyle w:val="244"/>
        <w:rPr>
          <w:b/>
          <w:bCs/>
          <w:color w:val="auto"/>
          <w:lang w:eastAsia="es-UY"/>
        </w:rPr>
      </w:pPr>
      <w:r>
        <w:rPr>
          <w:b/>
          <w:bCs/>
          <w:color w:val="auto"/>
          <w:lang w:eastAsia="es-UY"/>
        </w:rPr>
        <w:t xml:space="preserve">Estado de situación de los subgrupos temáticos: </w:t>
      </w:r>
      <w:r/>
    </w:p>
    <w:p>
      <w:pPr>
        <w:pStyle w:val="244"/>
        <w:rPr>
          <w:color w:val="auto"/>
          <w:lang w:eastAsia="es-UY"/>
        </w:rPr>
      </w:pPr>
      <w:r>
        <w:rPr>
          <w:b/>
          <w:bCs/>
          <w:color w:val="auto"/>
          <w:lang w:eastAsia="es-UY"/>
        </w:rPr>
        <w:t xml:space="preserve">Leticia Hernández, Agesic.</w:t>
      </w:r>
      <w:r>
        <w:rPr>
          <w:color w:val="auto"/>
          <w:lang w:eastAsia="es-UY"/>
        </w:rPr>
        <w:t xml:space="preserve"> Informa sobre los s</w:t>
      </w:r>
      <w:r>
        <w:rPr>
          <w:color w:val="auto"/>
          <w:lang w:eastAsia="es-UY"/>
        </w:rPr>
        <w:t xml:space="preserve">ubgrupo</w:t>
      </w:r>
      <w:r>
        <w:rPr>
          <w:color w:val="auto"/>
          <w:lang w:eastAsia="es-UY"/>
        </w:rPr>
        <w:t xml:space="preserve">s</w:t>
      </w:r>
      <w:r>
        <w:rPr>
          <w:color w:val="auto"/>
          <w:lang w:eastAsia="es-UY"/>
        </w:rPr>
        <w:t xml:space="preserve"> 1. Gobernanza y regulación y 2. Talento y futuro del trabajo: la primera reunión de estos se desarrollará el 19 de enero a las 11 horas (hora Uruguay) y 21 de enero 12 horas (hora Uruguay) respectivamente. </w:t>
      </w:r>
      <w:r/>
    </w:p>
    <w:p>
      <w:pPr>
        <w:pStyle w:val="244"/>
        <w:rPr>
          <w:color w:val="auto"/>
          <w:lang w:eastAsia="es-UY"/>
        </w:rPr>
      </w:pPr>
      <w:r>
        <w:rPr>
          <w:color w:val="auto"/>
          <w:lang w:eastAsia="es-UY"/>
        </w:rPr>
        <w:t xml:space="preserve">La convocatoria fue realizada y la agenda enviada. A la fecha está pendiente enviar el enlace a </w:t>
      </w:r>
      <w:r>
        <w:rPr>
          <w:color w:val="auto"/>
          <w:lang w:eastAsia="es-UY"/>
        </w:rPr>
        <w:t xml:space="preserve">Z</w:t>
      </w:r>
      <w:r>
        <w:rPr>
          <w:color w:val="auto"/>
          <w:lang w:eastAsia="es-UY"/>
        </w:rPr>
        <w:t xml:space="preserve">oom</w:t>
      </w:r>
      <w:r>
        <w:rPr>
          <w:color w:val="auto"/>
          <w:lang w:eastAsia="es-UY"/>
        </w:rPr>
        <w:t xml:space="preserve"> para la reunión, para lo cual se está esperando la información de los intérpretes que estará enviando </w:t>
      </w:r>
      <w:r>
        <w:rPr>
          <w:color w:val="auto"/>
          <w:lang w:eastAsia="es-UY"/>
        </w:rPr>
        <w:t xml:space="preserve">UNESCO</w:t>
      </w:r>
      <w:r>
        <w:rPr>
          <w:color w:val="auto"/>
          <w:lang w:eastAsia="es-UY"/>
        </w:rPr>
        <w:t xml:space="preserve">. </w:t>
      </w:r>
      <w:r/>
    </w:p>
    <w:p>
      <w:pPr>
        <w:pStyle w:val="244"/>
        <w:rPr>
          <w:color w:val="auto"/>
          <w:lang w:eastAsia="es-UY"/>
        </w:rPr>
      </w:pPr>
      <w:r>
        <w:rPr>
          <w:b/>
          <w:bCs/>
          <w:color w:val="auto"/>
          <w:lang w:eastAsia="es-UY"/>
        </w:rPr>
        <w:t xml:space="preserve">Natalia González, </w:t>
      </w:r>
      <w:r>
        <w:rPr>
          <w:b/>
          <w:bCs/>
          <w:color w:val="auto"/>
          <w:lang w:eastAsia="es-UY"/>
        </w:rPr>
        <w:t xml:space="preserve">UNESCO</w:t>
      </w:r>
      <w:r>
        <w:rPr>
          <w:b/>
          <w:bCs/>
          <w:color w:val="auto"/>
          <w:lang w:eastAsia="es-UY"/>
        </w:rPr>
        <w:t xml:space="preserve">.</w:t>
      </w:r>
      <w:r>
        <w:rPr>
          <w:color w:val="auto"/>
          <w:lang w:eastAsia="es-UY"/>
        </w:rPr>
        <w:t xml:space="preserve"> Subgrupos 3. </w:t>
      </w:r>
      <w:r>
        <w:rPr>
          <w:color w:val="auto"/>
          <w:lang w:eastAsia="es-UY"/>
        </w:rPr>
        <w:t xml:space="preserve">Protección de grupos en situación de vulnerabilidad</w:t>
      </w:r>
      <w:r>
        <w:rPr>
          <w:color w:val="auto"/>
          <w:lang w:eastAsia="es-UY"/>
        </w:rPr>
        <w:t xml:space="preserve"> y 4. </w:t>
      </w:r>
      <w:r>
        <w:rPr>
          <w:color w:val="auto"/>
          <w:lang w:eastAsia="es-UY"/>
        </w:rPr>
        <w:t xml:space="preserve">Medioambiente, </w:t>
      </w:r>
      <w:r>
        <w:rPr>
          <w:color w:val="auto"/>
          <w:lang w:eastAsia="es-UY"/>
        </w:rPr>
        <w:t xml:space="preserve">Sustentabildiad</w:t>
      </w:r>
      <w:r>
        <w:rPr>
          <w:color w:val="auto"/>
          <w:lang w:eastAsia="es-UY"/>
        </w:rPr>
        <w:t xml:space="preserve"> y cambio climático</w:t>
      </w:r>
      <w:r>
        <w:rPr>
          <w:color w:val="auto"/>
          <w:lang w:eastAsia="es-UY"/>
        </w:rPr>
        <w:t xml:space="preserve">: Esta semana o la próxima el equipo de CAF y UNESCO estarán realizando una reunión interna de “puesta a punto”, para luego coordinar y convocar las reuniones de estos subgrupos. Las mismas se espera sean en la primera quincena de marzo.</w:t>
      </w:r>
      <w:r/>
    </w:p>
    <w:p>
      <w:pPr>
        <w:pStyle w:val="244"/>
        <w:rPr>
          <w:color w:val="auto"/>
        </w:rPr>
      </w:pPr>
      <w:r>
        <w:rPr>
          <w:b/>
          <w:bCs/>
          <w:color w:val="auto"/>
          <w:lang w:eastAsia="es-UY"/>
        </w:rPr>
        <w:t xml:space="preserve">María Fernanda</w:t>
      </w:r>
      <w:r>
        <w:rPr>
          <w:b/>
          <w:bCs/>
          <w:color w:val="auto"/>
          <w:lang w:eastAsia="es-UY"/>
        </w:rPr>
        <w:t xml:space="preserve"> </w:t>
      </w:r>
      <w:r>
        <w:rPr>
          <w:b/>
          <w:bCs/>
          <w:color w:val="auto"/>
        </w:rPr>
        <w:t xml:space="preserve">Arciniegas, CAF</w:t>
      </w:r>
      <w:r>
        <w:rPr>
          <w:color w:val="auto"/>
        </w:rPr>
        <w:t xml:space="preserve">. Sobre el subgrupo 5. Infraestructura informa que esta semana retomarán contacto con el consultor, para coordinar la primera reunión en la primera quincena de marzo.</w:t>
      </w:r>
      <w:r/>
    </w:p>
    <w:p>
      <w:pPr>
        <w:pStyle w:val="244"/>
        <w:rPr>
          <w:color w:val="auto"/>
        </w:rPr>
      </w:pPr>
      <w:r>
        <w:rPr>
          <w:b/>
          <w:bCs/>
          <w:color w:val="auto"/>
        </w:rPr>
        <w:t xml:space="preserve">Ninoschka</w:t>
      </w:r>
      <w:r>
        <w:rPr>
          <w:b/>
          <w:bCs/>
          <w:color w:val="auto"/>
        </w:rPr>
        <w:t xml:space="preserve"> Dante, </w:t>
      </w:r>
      <w:r>
        <w:rPr>
          <w:b/>
          <w:bCs/>
          <w:color w:val="auto"/>
        </w:rPr>
        <w:t xml:space="preserve">Agesic</w:t>
      </w:r>
      <w:r>
        <w:rPr>
          <w:b/>
          <w:bCs/>
          <w:color w:val="auto"/>
        </w:rPr>
        <w:t xml:space="preserve">.</w:t>
      </w:r>
      <w:r>
        <w:rPr>
          <w:color w:val="auto"/>
        </w:rPr>
        <w:t xml:space="preserve"> Solicita que las reuniones de los subgrupos 3, 4 y 5 se realicen a partir del lunes 10 de marzo, considerando la transición gubernamental.</w:t>
      </w:r>
      <w:r/>
    </w:p>
    <w:p>
      <w:pPr>
        <w:pStyle w:val="244"/>
        <w:rPr>
          <w:b/>
          <w:bCs/>
          <w:color w:val="auto"/>
          <w:lang w:eastAsia="es-UY"/>
        </w:rPr>
      </w:pPr>
      <w:r>
        <w:rPr>
          <w:b/>
          <w:bCs/>
          <w:color w:val="auto"/>
          <w:lang w:eastAsia="es-UY"/>
        </w:rPr>
        <w:t xml:space="preserve">Evento en República Dominicana:</w:t>
      </w:r>
      <w:r/>
    </w:p>
    <w:p>
      <w:pPr>
        <w:pStyle w:val="244"/>
        <w:rPr>
          <w:color w:val="auto"/>
          <w:lang w:eastAsia="es-UY"/>
        </w:rPr>
      </w:pPr>
      <w:r>
        <w:rPr>
          <w:color w:val="auto"/>
          <w:lang w:eastAsia="es-UY"/>
        </w:rPr>
        <w:t xml:space="preserve">El 19 de enero, CAF y Unesco se reunirán con el equipo de República Dominicana que están organizando el evento de innovación en el mes de abril en este país.</w:t>
      </w:r>
      <w:r/>
    </w:p>
    <w:p>
      <w:pPr>
        <w:pStyle w:val="244"/>
        <w:rPr>
          <w:color w:val="auto"/>
          <w:lang w:eastAsia="es-UY"/>
        </w:rPr>
      </w:pPr>
      <w:r>
        <w:rPr>
          <w:b/>
          <w:bCs/>
          <w:color w:val="auto"/>
          <w:lang w:eastAsia="es-UY"/>
        </w:rPr>
        <w:t xml:space="preserve">Enrique Zapa</w:t>
      </w:r>
      <w:r>
        <w:rPr>
          <w:b/>
          <w:bCs/>
          <w:color w:val="auto"/>
          <w:lang w:eastAsia="es-UY"/>
        </w:rPr>
        <w:t xml:space="preserve">t</w:t>
      </w:r>
      <w:r>
        <w:rPr>
          <w:b/>
          <w:bCs/>
          <w:color w:val="auto"/>
          <w:lang w:eastAsia="es-UY"/>
        </w:rPr>
        <w:t xml:space="preserve">a, CAF.</w:t>
      </w:r>
      <w:r>
        <w:rPr>
          <w:color w:val="auto"/>
          <w:lang w:eastAsia="es-UY"/>
        </w:rPr>
        <w:t xml:space="preserve"> Informa que este es un evento previo a la 3ra Cumbre, que podrá ser un insumo para esta.</w:t>
      </w:r>
      <w:r/>
    </w:p>
    <w:p>
      <w:pPr>
        <w:pStyle w:val="244"/>
        <w:rPr>
          <w:color w:val="auto"/>
          <w:lang w:eastAsia="es-UY"/>
        </w:rPr>
      </w:pPr>
      <w:r>
        <w:rPr>
          <w:color w:val="auto"/>
          <w:lang w:eastAsia="es-UY"/>
        </w:rPr>
        <w:t xml:space="preserve">Es decir, en el marco de este evento, se podrá generar un “</w:t>
      </w:r>
      <w:r>
        <w:rPr>
          <w:color w:val="auto"/>
          <w:lang w:eastAsia="es-UY"/>
        </w:rPr>
        <w:t xml:space="preserve">side</w:t>
      </w:r>
      <w:r>
        <w:rPr>
          <w:color w:val="auto"/>
          <w:lang w:eastAsia="es-UY"/>
        </w:rPr>
        <w:t xml:space="preserve"> </w:t>
      </w:r>
      <w:r>
        <w:rPr>
          <w:color w:val="auto"/>
          <w:lang w:eastAsia="es-UY"/>
        </w:rPr>
        <w:t xml:space="preserve">event</w:t>
      </w:r>
      <w:r>
        <w:rPr>
          <w:color w:val="auto"/>
          <w:lang w:eastAsia="es-UY"/>
        </w:rPr>
        <w:t xml:space="preserve">” sobre IA y que sea un espacio donde el GT pueda presentarse.</w:t>
      </w:r>
      <w:r/>
    </w:p>
    <w:p>
      <w:pPr>
        <w:pStyle w:val="244"/>
        <w:rPr>
          <w:b/>
          <w:bCs/>
          <w:color w:val="auto"/>
          <w:lang w:eastAsia="es-UY"/>
        </w:rPr>
      </w:pPr>
      <w:r>
        <w:rPr>
          <w:color w:val="auto"/>
          <w:lang w:eastAsia="es-UY"/>
        </w:rPr>
        <w:t xml:space="preserve">A su vez, se está analizando que sea un evento </w:t>
      </w:r>
      <w:r>
        <w:rPr>
          <w:color w:val="auto"/>
          <w:lang w:eastAsia="es-UY"/>
        </w:rPr>
        <w:t xml:space="preserve">dirigido hacia los países de Centroamérica</w:t>
      </w:r>
      <w:r>
        <w:rPr>
          <w:color w:val="auto"/>
          <w:lang w:eastAsia="es-UY"/>
        </w:rPr>
        <w:t xml:space="preserve"> y el Caribe</w:t>
      </w:r>
      <w:r>
        <w:rPr>
          <w:color w:val="auto"/>
          <w:lang w:eastAsia="es-UY"/>
        </w:rPr>
        <w:t xml:space="preserve"> y no tanto de la región.</w:t>
      </w:r>
      <w:r/>
    </w:p>
    <w:p>
      <w:pPr>
        <w:pStyle w:val="244"/>
        <w:rPr>
          <w:b/>
          <w:bCs/>
          <w:color w:val="auto"/>
          <w:lang w:eastAsia="es-UY"/>
        </w:rPr>
      </w:pPr>
      <w:r>
        <w:rPr>
          <w:b/>
          <w:bCs/>
          <w:color w:val="auto"/>
          <w:lang w:eastAsia="es-UY"/>
        </w:rPr>
      </w:r>
      <w:r/>
    </w:p>
    <w:p>
      <w:pPr>
        <w:pStyle w:val="247"/>
        <w:ind w:left="0"/>
        <w:rPr>
          <w:color w:val="auto"/>
          <w:sz w:val="32"/>
        </w:rPr>
      </w:pPr>
      <w:r>
        <w:rPr>
          <w:color w:val="auto"/>
          <w:sz w:val="32"/>
        </w:rPr>
        <w:t xml:space="preserve">Acuerdos</w:t>
      </w:r>
      <w:r>
        <w:rPr>
          <w:color w:val="auto"/>
          <w:sz w:val="32"/>
        </w:rPr>
        <w:t xml:space="preserve"> </w:t>
      </w:r>
      <w:r/>
    </w:p>
    <w:p>
      <w:pPr>
        <w:pStyle w:val="200"/>
        <w:numPr>
          <w:ilvl w:val="0"/>
          <w:numId w:val="4"/>
        </w:numPr>
        <w:contextualSpacing w:val="true"/>
        <w:jc w:val="both"/>
        <w:spacing w:lineRule="auto" w:line="360"/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</w:pPr>
      <w:r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 xml:space="preserve">Próxima reunión del Grupo de coordinación: </w:t>
      </w:r>
      <w:r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 xml:space="preserve">17 de </w:t>
      </w:r>
      <w:r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 xml:space="preserve">marzo</w:t>
      </w:r>
      <w:r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 xml:space="preserve"> a las </w:t>
      </w:r>
      <w:r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 xml:space="preserve">12.30 pm</w:t>
      </w:r>
      <w:r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 xml:space="preserve"> (</w:t>
      </w:r>
      <w:r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 xml:space="preserve">Hora </w:t>
      </w:r>
      <w:r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 xml:space="preserve">UY). </w:t>
      </w:r>
      <w:r/>
    </w:p>
    <w:p>
      <w:pPr>
        <w:pStyle w:val="200"/>
        <w:numPr>
          <w:ilvl w:val="0"/>
          <w:numId w:val="4"/>
        </w:numPr>
        <w:contextualSpacing w:val="true"/>
        <w:jc w:val="both"/>
        <w:spacing w:lineRule="auto" w:line="360"/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</w:pPr>
      <w:r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 xml:space="preserve">Agenda de la reunión del GT del </w:t>
      </w:r>
      <w:r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 xml:space="preserve">20</w:t>
      </w:r>
      <w:r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 xml:space="preserve">/0</w:t>
      </w:r>
      <w:r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 xml:space="preserve">3</w:t>
      </w:r>
      <w:r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 xml:space="preserve">/202</w:t>
      </w:r>
      <w:r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 xml:space="preserve">5, 11 am (hora Uruguay)</w:t>
      </w:r>
      <w:r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  <w:t xml:space="preserve">.</w:t>
      </w:r>
      <w:r/>
    </w:p>
    <w:p>
      <w:pPr>
        <w:pStyle w:val="244"/>
        <w:numPr>
          <w:ilvl w:val="1"/>
          <w:numId w:val="4"/>
        </w:numPr>
        <w:rPr>
          <w:color w:val="auto"/>
          <w:lang w:val="es-UY" w:eastAsia="es-UY"/>
        </w:rPr>
      </w:pPr>
      <w:r>
        <w:rPr>
          <w:color w:val="auto"/>
          <w:lang w:val="es-UY" w:eastAsia="es-UY"/>
        </w:rPr>
        <w:t xml:space="preserve">Temas generales: 1. Avances de los subgrupos que ya realizaron la primera reunión; 2. Articulación espacios internacionales (próximas acciones).</w:t>
      </w:r>
      <w:r/>
    </w:p>
    <w:p>
      <w:pPr>
        <w:pStyle w:val="244"/>
        <w:numPr>
          <w:ilvl w:val="1"/>
          <w:numId w:val="4"/>
        </w:numPr>
        <w:rPr>
          <w:color w:val="auto"/>
          <w:lang w:val="es-UY" w:eastAsia="es-UY"/>
        </w:rPr>
      </w:pPr>
      <w:r>
        <w:rPr>
          <w:color w:val="auto"/>
          <w:lang w:val="es-UY" w:eastAsia="es-UY"/>
        </w:rPr>
        <w:t xml:space="preserve">AI </w:t>
      </w:r>
      <w:r>
        <w:rPr>
          <w:color w:val="auto"/>
          <w:lang w:val="es-UY" w:eastAsia="es-UY"/>
        </w:rPr>
        <w:t xml:space="preserve">Action</w:t>
      </w:r>
      <w:r>
        <w:rPr>
          <w:color w:val="auto"/>
          <w:lang w:val="es-UY" w:eastAsia="es-UY"/>
        </w:rPr>
        <w:t xml:space="preserve"> Summit – París: Aportes de los integrantes del GT que participaron.</w:t>
      </w:r>
      <w:r/>
    </w:p>
    <w:p>
      <w:pPr>
        <w:pStyle w:val="244"/>
        <w:numPr>
          <w:ilvl w:val="1"/>
          <w:numId w:val="4"/>
        </w:numPr>
        <w:rPr>
          <w:color w:val="auto"/>
          <w:lang w:val="es-UY" w:eastAsia="es-UY"/>
        </w:rPr>
      </w:pPr>
      <w:r>
        <w:rPr>
          <w:color w:val="auto"/>
          <w:lang w:val="es-UY" w:eastAsia="es-UY"/>
        </w:rPr>
        <w:t xml:space="preserve">Proyecto ‘Gran Modelo de Lenguaje Abierto Latinoamericano: </w:t>
      </w:r>
      <w:r>
        <w:rPr>
          <w:color w:val="auto"/>
          <w:lang w:val="es-UY" w:eastAsia="es-UY"/>
        </w:rPr>
        <w:t xml:space="preserve">Latam</w:t>
      </w:r>
      <w:r>
        <w:rPr>
          <w:color w:val="auto"/>
          <w:lang w:val="es-UY" w:eastAsia="es-UY"/>
        </w:rPr>
        <w:t xml:space="preserve">-GPT’: Presentación del proyecto por parte de los representantes del GT (tentativo).</w:t>
      </w:r>
      <w:r/>
    </w:p>
    <w:p>
      <w:pPr>
        <w:pStyle w:val="244"/>
        <w:numPr>
          <w:ilvl w:val="1"/>
          <w:numId w:val="4"/>
        </w:numPr>
        <w:rPr>
          <w:color w:val="auto"/>
          <w:lang w:val="es-UY" w:eastAsia="es-UY"/>
        </w:rPr>
      </w:pPr>
      <w:r>
        <w:rPr>
          <w:color w:val="auto"/>
          <w:lang w:val="es-UY" w:eastAsia="es-UY"/>
        </w:rPr>
        <w:t xml:space="preserve">Espacio para que las y los representantes del GT cuenten con su espacio para presentar novedades: República Dominicana presente el evento de Innovación a desarrollar en abril 2025. Alcance y objetivos.</w:t>
      </w:r>
      <w:r/>
    </w:p>
    <w:p>
      <w:pPr>
        <w:pStyle w:val="200"/>
        <w:contextualSpacing w:val="true"/>
        <w:jc w:val="both"/>
        <w:spacing w:lineRule="auto" w:line="360"/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</w:pPr>
      <w:r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</w:r>
      <w:r/>
    </w:p>
    <w:p>
      <w:pPr>
        <w:pStyle w:val="200"/>
        <w:contextualSpacing w:val="true"/>
        <w:jc w:val="both"/>
        <w:spacing w:lineRule="auto" w:line="360"/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</w:pPr>
      <w:r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</w:r>
      <w:r/>
    </w:p>
    <w:p>
      <w:pPr>
        <w:pStyle w:val="200"/>
        <w:contextualSpacing w:val="true"/>
        <w:ind w:left="0"/>
        <w:jc w:val="both"/>
        <w:spacing w:lineRule="auto" w:line="360"/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</w:pPr>
      <w:r>
        <w:rPr>
          <w:rFonts w:ascii="Microsoft Sans Serif" w:hAnsi="Microsoft Sans Serif" w:cs="Microsoft Sans Serif"/>
          <w:bCs/>
          <w:sz w:val="24"/>
          <w:szCs w:val="24"/>
          <w:shd w:val="clear" w:color="auto" w:fill="FFFFFF"/>
        </w:rPr>
      </w:r>
      <w:r/>
    </w:p>
    <w:p>
      <w:pPr>
        <w:pStyle w:val="247"/>
        <w:ind w:left="0"/>
        <w:rPr>
          <w:color w:val="auto"/>
          <w:sz w:val="32"/>
        </w:rPr>
      </w:pPr>
      <w:r>
        <w:rPr>
          <w:color w:val="auto"/>
          <w:sz w:val="32"/>
        </w:rPr>
        <w:t xml:space="preserve">Pendientes</w:t>
      </w:r>
      <w:r/>
    </w:p>
    <w:tbl>
      <w:tblPr>
        <w:tblW w:w="8897" w:type="dxa"/>
        <w:tblBorders>
          <w:left w:val="single" w:color="8EAADB" w:sz="4" w:space="0"/>
          <w:top w:val="single" w:color="8EAADB" w:sz="4" w:space="0"/>
          <w:right w:val="single" w:color="8EAADB" w:sz="4" w:space="0"/>
          <w:bottom w:val="single" w:color="8EAADB" w:sz="4" w:space="0"/>
          <w:insideV w:val="single" w:color="8EAADB" w:sz="4" w:space="0"/>
          <w:insideH w:val="single" w:color="8EAADB" w:sz="4" w:space="0"/>
        </w:tblBorders>
        <w:tblLook w:val="0620" w:firstRow="1" w:lastRow="0" w:firstColumn="0" w:lastColumn="0" w:noHBand="1" w:noVBand="1"/>
      </w:tblPr>
      <w:tblGrid>
        <w:gridCol w:w="4644"/>
        <w:gridCol w:w="2677"/>
        <w:gridCol w:w="1576"/>
      </w:tblGrid>
      <w:tr>
        <w:trPr/>
        <w:tc>
          <w:tcPr>
            <w:shd w:val="clear" w:color="auto" w:fill="182765"/>
            <w:tcBorders>
              <w:left w:val="single" w:color="FFFFFF" w:sz="4" w:space="0"/>
              <w:top w:val="single" w:color="FFFFFF" w:sz="4" w:space="0"/>
              <w:right w:val="single" w:color="FFFFFF" w:sz="4" w:space="0"/>
              <w:bottom w:val="single" w:color="FFFFFF" w:sz="4" w:space="0"/>
            </w:tcBorders>
            <w:tcW w:w="4644" w:type="dxa"/>
            <w:textDirection w:val="lrTb"/>
            <w:noWrap w:val="false"/>
          </w:tcPr>
          <w:p>
            <w:pPr>
              <w:pStyle w:val="249"/>
              <w:rPr>
                <w:bCs w:val="false"/>
              </w:rPr>
            </w:pPr>
            <w:r>
              <w:rPr>
                <w:bCs w:val="false"/>
              </w:rPr>
              <w:t xml:space="preserve">Descripción tarea</w:t>
            </w:r>
            <w:r/>
          </w:p>
        </w:tc>
        <w:tc>
          <w:tcPr>
            <w:shd w:val="clear" w:color="auto" w:fill="182765"/>
            <w:tcBorders>
              <w:left w:val="single" w:color="FFFFFF" w:sz="4" w:space="0"/>
              <w:top w:val="single" w:color="FFFFFF" w:sz="4" w:space="0"/>
              <w:right w:val="single" w:color="FFFFFF" w:sz="4" w:space="0"/>
              <w:bottom w:val="single" w:color="FFFFFF" w:sz="4" w:space="0"/>
            </w:tcBorders>
            <w:tcW w:w="2677" w:type="dxa"/>
            <w:textDirection w:val="lrTb"/>
            <w:noWrap w:val="false"/>
          </w:tcPr>
          <w:p>
            <w:pPr>
              <w:pStyle w:val="249"/>
              <w:rPr>
                <w:bCs w:val="false"/>
              </w:rPr>
            </w:pPr>
            <w:r>
              <w:rPr>
                <w:bCs w:val="false"/>
              </w:rPr>
              <w:t xml:space="preserve">Responsable</w:t>
            </w:r>
            <w:r/>
          </w:p>
        </w:tc>
        <w:tc>
          <w:tcPr>
            <w:shd w:val="clear" w:color="auto" w:fill="182765"/>
            <w:tcBorders>
              <w:left w:val="single" w:color="FFFFFF" w:sz="4" w:space="0"/>
              <w:top w:val="single" w:color="FFFFFF" w:sz="4" w:space="0"/>
              <w:right w:val="single" w:color="FFFFFF" w:sz="4" w:space="0"/>
              <w:bottom w:val="single" w:color="FFFFFF" w:sz="4" w:space="0"/>
            </w:tcBorders>
            <w:tcW w:w="1576" w:type="dxa"/>
            <w:textDirection w:val="lrTb"/>
            <w:noWrap w:val="false"/>
          </w:tcPr>
          <w:p>
            <w:pPr>
              <w:pStyle w:val="249"/>
              <w:jc w:val="center"/>
              <w:rPr>
                <w:b w:val="false"/>
                <w:bCs w:val="false"/>
              </w:rPr>
            </w:pPr>
            <w:r>
              <w:rPr>
                <w:bCs w:val="false"/>
              </w:rPr>
              <w:t xml:space="preserve">Fecha</w:t>
            </w:r>
            <w:r/>
          </w:p>
        </w:tc>
      </w:tr>
      <w:tr>
        <w:trPr>
          <w:trHeight w:val="366"/>
        </w:trPr>
        <w:tc>
          <w:tcPr>
            <w:shd w:val="clear" w:color="auto" w:fill="auto"/>
            <w:tcBorders>
              <w:top w:val="single" w:color="FFFFFF" w:sz="4" w:space="0"/>
            </w:tcBorders>
            <w:tcW w:w="4644" w:type="dxa"/>
            <w:vAlign w:val="center"/>
            <w:textDirection w:val="lrTb"/>
            <w:noWrap w:val="false"/>
          </w:tcPr>
          <w:p>
            <w:pPr>
              <w:pStyle w:val="244"/>
              <w:rPr>
                <w:color w:val="auto"/>
              </w:rPr>
            </w:pPr>
            <w:r>
              <w:rPr>
                <w:color w:val="auto"/>
              </w:rPr>
              <w:t xml:space="preserve">Armar y enviar acta 5</w:t>
            </w:r>
            <w:r/>
          </w:p>
        </w:tc>
        <w:tc>
          <w:tcPr>
            <w:shd w:val="clear" w:color="auto" w:fill="auto"/>
            <w:tcBorders>
              <w:top w:val="single" w:color="FFFFFF" w:sz="4" w:space="0"/>
            </w:tcBorders>
            <w:tcW w:w="2677" w:type="dxa"/>
            <w:vAlign w:val="center"/>
            <w:textDirection w:val="lrTb"/>
            <w:noWrap w:val="false"/>
          </w:tcPr>
          <w:p>
            <w:pPr>
              <w:pStyle w:val="250"/>
              <w:rPr>
                <w:color w:val="auto"/>
              </w:rPr>
            </w:pPr>
            <w:r>
              <w:rPr>
                <w:color w:val="auto"/>
              </w:rPr>
              <w:t xml:space="preserve">Agesic</w:t>
            </w:r>
            <w:r/>
          </w:p>
        </w:tc>
        <w:tc>
          <w:tcPr>
            <w:shd w:val="clear" w:color="auto" w:fill="auto"/>
            <w:tcBorders>
              <w:top w:val="single" w:color="FFFFFF" w:sz="4" w:space="0"/>
            </w:tcBorders>
            <w:tcW w:w="1576" w:type="dxa"/>
            <w:vAlign w:val="center"/>
            <w:textDirection w:val="lrTb"/>
            <w:noWrap w:val="false"/>
          </w:tcPr>
          <w:p>
            <w:pPr>
              <w:pStyle w:val="250"/>
              <w:spacing w:after="120" w:before="120"/>
              <w:rPr>
                <w:color w:val="auto"/>
              </w:rPr>
            </w:pPr>
            <w:r>
              <w:rPr>
                <w:color w:val="auto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FFFFFF" w:sz="4" w:space="0"/>
            </w:tcBorders>
            <w:tcW w:w="4644" w:type="dxa"/>
            <w:vAlign w:val="center"/>
            <w:textDirection w:val="lrTb"/>
            <w:noWrap w:val="false"/>
          </w:tcPr>
          <w:p>
            <w:r>
              <w:rPr>
                <w:rFonts w:ascii="Microsoft Sans Serif" w:hAnsi="Microsoft Sans Serif"/>
                <w:sz w:val="24"/>
                <w:lang w:val="es-ES" w:eastAsia="en-US"/>
              </w:rPr>
              <w:t xml:space="preserve">Validar Acta 5</w:t>
            </w:r>
            <w:r/>
          </w:p>
        </w:tc>
        <w:tc>
          <w:tcPr>
            <w:shd w:val="clear" w:color="auto" w:fill="auto"/>
            <w:tcBorders>
              <w:top w:val="single" w:color="FFFFFF" w:sz="4" w:space="0"/>
            </w:tcBorders>
            <w:tcW w:w="2677" w:type="dxa"/>
            <w:vAlign w:val="center"/>
            <w:textDirection w:val="lrTb"/>
            <w:noWrap w:val="false"/>
          </w:tcPr>
          <w:p>
            <w:pPr>
              <w:pStyle w:val="250"/>
              <w:rPr>
                <w:color w:val="auto"/>
              </w:rPr>
            </w:pPr>
            <w:r>
              <w:rPr>
                <w:color w:val="auto"/>
              </w:rPr>
              <w:t xml:space="preserve">UNESCO</w:t>
            </w:r>
            <w:r>
              <w:rPr>
                <w:color w:val="auto"/>
              </w:rPr>
              <w:t xml:space="preserve"> y CAF</w:t>
            </w:r>
            <w:r/>
          </w:p>
        </w:tc>
        <w:tc>
          <w:tcPr>
            <w:shd w:val="clear" w:color="auto" w:fill="auto"/>
            <w:tcBorders>
              <w:top w:val="single" w:color="FFFFFF" w:sz="4" w:space="0"/>
            </w:tcBorders>
            <w:tcW w:w="1576" w:type="dxa"/>
            <w:vAlign w:val="center"/>
            <w:textDirection w:val="lrTb"/>
            <w:noWrap w:val="false"/>
          </w:tcPr>
          <w:p>
            <w:pPr>
              <w:pStyle w:val="250"/>
              <w:spacing w:after="120" w:before="120"/>
              <w:rPr>
                <w:color w:val="auto"/>
              </w:rPr>
            </w:pPr>
            <w:r>
              <w:rPr>
                <w:color w:val="auto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FFFFFF" w:sz="4" w:space="0"/>
            </w:tcBorders>
            <w:tcW w:w="4644" w:type="dxa"/>
            <w:vAlign w:val="center"/>
            <w:textDirection w:val="lrTb"/>
            <w:noWrap w:val="false"/>
          </w:tcPr>
          <w:p>
            <w:pPr>
              <w:rPr>
                <w:rFonts w:ascii="Microsoft Sans Serif" w:hAnsi="Microsoft Sans Serif" w:cs="Microsoft Sans Serif"/>
                <w:sz w:val="24"/>
                <w:szCs w:val="24"/>
              </w:rPr>
            </w:pPr>
            <w:r>
              <w:rPr>
                <w:rFonts w:ascii="Microsoft Sans Serif" w:hAnsi="Microsoft Sans Serif" w:cs="Microsoft Sans Serif"/>
                <w:sz w:val="24"/>
                <w:szCs w:val="24"/>
              </w:rPr>
              <w:t xml:space="preserve">Armar boceto sitio web y enviar para validar </w:t>
            </w:r>
            <w:r/>
          </w:p>
        </w:tc>
        <w:tc>
          <w:tcPr>
            <w:shd w:val="clear" w:color="auto" w:fill="auto"/>
            <w:tcBorders>
              <w:top w:val="single" w:color="FFFFFF" w:sz="4" w:space="0"/>
            </w:tcBorders>
            <w:tcW w:w="2677" w:type="dxa"/>
            <w:vAlign w:val="center"/>
            <w:textDirection w:val="lrTb"/>
            <w:noWrap w:val="false"/>
          </w:tcPr>
          <w:p>
            <w:pPr>
              <w:pStyle w:val="250"/>
              <w:rPr>
                <w:color w:val="auto"/>
              </w:rPr>
            </w:pPr>
            <w:r>
              <w:rPr>
                <w:color w:val="auto"/>
              </w:rPr>
              <w:t xml:space="preserve">UNESCO</w:t>
            </w:r>
            <w:r/>
          </w:p>
        </w:tc>
        <w:tc>
          <w:tcPr>
            <w:shd w:val="clear" w:color="auto" w:fill="auto"/>
            <w:tcBorders>
              <w:top w:val="single" w:color="FFFFFF" w:sz="4" w:space="0"/>
            </w:tcBorders>
            <w:tcW w:w="1576" w:type="dxa"/>
            <w:vAlign w:val="center"/>
            <w:textDirection w:val="lrTb"/>
            <w:noWrap w:val="false"/>
          </w:tcPr>
          <w:p>
            <w:pPr>
              <w:pStyle w:val="250"/>
              <w:spacing w:after="120" w:before="120"/>
              <w:rPr>
                <w:color w:val="auto"/>
              </w:rPr>
            </w:pPr>
            <w:r>
              <w:rPr>
                <w:color w:val="auto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FFFFFF" w:sz="4" w:space="0"/>
            </w:tcBorders>
            <w:tcW w:w="4644" w:type="dxa"/>
            <w:vAlign w:val="center"/>
            <w:textDirection w:val="lrTb"/>
            <w:noWrap w:val="false"/>
          </w:tcPr>
          <w:p>
            <w:pPr>
              <w:rPr>
                <w:rFonts w:ascii="Microsoft Sans Serif" w:hAnsi="Microsoft Sans Serif"/>
                <w:sz w:val="24"/>
                <w:lang w:val="es-ES" w:eastAsia="en-US"/>
              </w:rPr>
            </w:pPr>
            <w:r>
              <w:rPr>
                <w:rFonts w:ascii="Microsoft Sans Serif" w:hAnsi="Microsoft Sans Serif"/>
                <w:sz w:val="24"/>
                <w:lang w:val="es-ES" w:eastAsia="en-US"/>
              </w:rPr>
              <w:t xml:space="preserve">Validar boceto de sitio web</w:t>
            </w:r>
            <w:r/>
          </w:p>
        </w:tc>
        <w:tc>
          <w:tcPr>
            <w:shd w:val="clear" w:color="auto" w:fill="auto"/>
            <w:tcBorders>
              <w:top w:val="single" w:color="FFFFFF" w:sz="4" w:space="0"/>
            </w:tcBorders>
            <w:tcW w:w="2677" w:type="dxa"/>
            <w:vAlign w:val="center"/>
            <w:textDirection w:val="lrTb"/>
            <w:noWrap w:val="false"/>
          </w:tcPr>
          <w:p>
            <w:pPr>
              <w:pStyle w:val="250"/>
              <w:rPr>
                <w:color w:val="auto"/>
                <w:lang w:val="es-UY"/>
              </w:rPr>
            </w:pPr>
            <w:r>
              <w:rPr>
                <w:color w:val="auto"/>
                <w:lang w:val="es-UY"/>
              </w:rPr>
              <w:t xml:space="preserve">CAF + Agesic</w:t>
            </w:r>
            <w:r/>
          </w:p>
        </w:tc>
        <w:tc>
          <w:tcPr>
            <w:shd w:val="clear" w:color="auto" w:fill="auto"/>
            <w:tcBorders>
              <w:top w:val="single" w:color="FFFFFF" w:sz="4" w:space="0"/>
            </w:tcBorders>
            <w:tcW w:w="1576" w:type="dxa"/>
            <w:vAlign w:val="center"/>
            <w:textDirection w:val="lrTb"/>
            <w:noWrap w:val="false"/>
          </w:tcPr>
          <w:p>
            <w:pPr>
              <w:pStyle w:val="250"/>
              <w:spacing w:after="120" w:before="120"/>
              <w:rPr>
                <w:color w:val="auto"/>
              </w:rPr>
            </w:pPr>
            <w:r>
              <w:rPr>
                <w:color w:val="auto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FFFFFF" w:sz="4" w:space="0"/>
            </w:tcBorders>
            <w:tcW w:w="4644" w:type="dxa"/>
            <w:vAlign w:val="center"/>
            <w:textDirection w:val="lrTb"/>
            <w:noWrap w:val="false"/>
          </w:tcPr>
          <w:p>
            <w:pPr>
              <w:pStyle w:val="200"/>
              <w:contextualSpacing w:val="true"/>
              <w:ind w:left="0"/>
              <w:jc w:val="both"/>
              <w:spacing w:lineRule="auto" w:line="360"/>
              <w:rPr>
                <w:rFonts w:ascii="Microsoft Sans Serif" w:hAnsi="Microsoft Sans Serif"/>
                <w:sz w:val="24"/>
                <w:lang w:val="es-ES" w:eastAsia="en-US"/>
              </w:rPr>
            </w:pPr>
            <w:r>
              <w:rPr>
                <w:rFonts w:ascii="Microsoft Sans Serif" w:hAnsi="Microsoft Sans Serif"/>
                <w:sz w:val="24"/>
                <w:lang w:val="es-ES" w:eastAsia="en-US"/>
              </w:rPr>
              <w:t xml:space="preserve">Contacto con Cuba</w:t>
            </w:r>
            <w:r/>
          </w:p>
        </w:tc>
        <w:tc>
          <w:tcPr>
            <w:shd w:val="clear" w:color="auto" w:fill="auto"/>
            <w:tcBorders>
              <w:top w:val="single" w:color="FFFFFF" w:sz="4" w:space="0"/>
            </w:tcBorders>
            <w:tcW w:w="2677" w:type="dxa"/>
            <w:vAlign w:val="center"/>
            <w:textDirection w:val="lrTb"/>
            <w:noWrap w:val="false"/>
          </w:tcPr>
          <w:p>
            <w:pPr>
              <w:pStyle w:val="250"/>
              <w:rPr>
                <w:color w:val="auto"/>
              </w:rPr>
            </w:pPr>
            <w:r>
              <w:rPr>
                <w:color w:val="auto"/>
              </w:rPr>
              <w:t xml:space="preserve">UNESCO</w:t>
            </w:r>
            <w:r/>
          </w:p>
        </w:tc>
        <w:tc>
          <w:tcPr>
            <w:shd w:val="clear" w:color="auto" w:fill="auto"/>
            <w:tcBorders>
              <w:top w:val="single" w:color="FFFFFF" w:sz="4" w:space="0"/>
            </w:tcBorders>
            <w:tcW w:w="1576" w:type="dxa"/>
            <w:vAlign w:val="center"/>
            <w:textDirection w:val="lrTb"/>
            <w:noWrap w:val="false"/>
          </w:tcPr>
          <w:p>
            <w:pPr>
              <w:pStyle w:val="250"/>
              <w:spacing w:after="120" w:before="120"/>
              <w:rPr>
                <w:color w:val="auto"/>
              </w:rPr>
            </w:pPr>
            <w:r>
              <w:rPr>
                <w:color w:val="auto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FFFFFF" w:sz="4" w:space="0"/>
            </w:tcBorders>
            <w:tcW w:w="4644" w:type="dxa"/>
            <w:vAlign w:val="center"/>
            <w:textDirection w:val="lrTb"/>
            <w:noWrap w:val="false"/>
          </w:tcPr>
          <w:p>
            <w:pPr>
              <w:rPr>
                <w:rFonts w:ascii="Microsoft Sans Serif" w:hAnsi="Microsoft Sans Serif"/>
                <w:sz w:val="24"/>
                <w:lang w:val="es-ES" w:eastAsia="en-US"/>
              </w:rPr>
            </w:pPr>
            <w:r>
              <w:rPr>
                <w:rFonts w:ascii="Microsoft Sans Serif" w:hAnsi="Microsoft Sans Serif"/>
                <w:sz w:val="24"/>
                <w:lang w:val="es-ES" w:eastAsia="en-US"/>
              </w:rPr>
              <w:t xml:space="preserve">Convocar subgrupos 3 y 4</w:t>
            </w:r>
            <w:r/>
          </w:p>
        </w:tc>
        <w:tc>
          <w:tcPr>
            <w:shd w:val="clear" w:color="auto" w:fill="auto"/>
            <w:tcBorders>
              <w:top w:val="single" w:color="FFFFFF" w:sz="4" w:space="0"/>
            </w:tcBorders>
            <w:tcW w:w="2677" w:type="dxa"/>
            <w:vAlign w:val="center"/>
            <w:textDirection w:val="lrTb"/>
            <w:noWrap w:val="false"/>
          </w:tcPr>
          <w:p>
            <w:pPr>
              <w:pStyle w:val="250"/>
              <w:rPr>
                <w:color w:val="auto"/>
              </w:rPr>
            </w:pPr>
            <w:r>
              <w:rPr>
                <w:color w:val="auto"/>
              </w:rPr>
              <w:t xml:space="preserve">UNESCO</w:t>
            </w:r>
            <w:r/>
          </w:p>
        </w:tc>
        <w:tc>
          <w:tcPr>
            <w:shd w:val="clear" w:color="auto" w:fill="auto"/>
            <w:tcBorders>
              <w:top w:val="single" w:color="FFFFFF" w:sz="4" w:space="0"/>
            </w:tcBorders>
            <w:tcW w:w="1576" w:type="dxa"/>
            <w:vAlign w:val="center"/>
            <w:textDirection w:val="lrTb"/>
            <w:noWrap w:val="false"/>
          </w:tcPr>
          <w:p>
            <w:pPr>
              <w:pStyle w:val="250"/>
              <w:spacing w:after="120" w:before="120"/>
              <w:rPr>
                <w:color w:val="auto"/>
              </w:rPr>
            </w:pPr>
            <w:r>
              <w:rPr>
                <w:color w:val="auto"/>
              </w:rPr>
            </w:r>
            <w:r/>
          </w:p>
        </w:tc>
      </w:tr>
      <w:tr>
        <w:trPr/>
        <w:tc>
          <w:tcPr>
            <w:shd w:val="clear" w:color="auto" w:fill="auto"/>
            <w:tcBorders>
              <w:top w:val="single" w:color="FFFFFF" w:sz="4" w:space="0"/>
            </w:tcBorders>
            <w:tcW w:w="4644" w:type="dxa"/>
            <w:vAlign w:val="center"/>
            <w:textDirection w:val="lrTb"/>
            <w:noWrap w:val="false"/>
          </w:tcPr>
          <w:p>
            <w:pPr>
              <w:rPr>
                <w:rFonts w:ascii="Microsoft Sans Serif" w:hAnsi="Microsoft Sans Serif"/>
                <w:sz w:val="24"/>
                <w:lang w:val="es-ES" w:eastAsia="en-US"/>
              </w:rPr>
            </w:pPr>
            <w:r>
              <w:rPr>
                <w:rFonts w:ascii="Microsoft Sans Serif" w:hAnsi="Microsoft Sans Serif"/>
                <w:sz w:val="24"/>
                <w:lang w:val="es-ES" w:eastAsia="en-US"/>
              </w:rPr>
              <w:t xml:space="preserve">Convocar subgrupo 5</w:t>
            </w:r>
            <w:r/>
          </w:p>
        </w:tc>
        <w:tc>
          <w:tcPr>
            <w:shd w:val="clear" w:color="auto" w:fill="auto"/>
            <w:tcBorders>
              <w:top w:val="single" w:color="FFFFFF" w:sz="4" w:space="0"/>
            </w:tcBorders>
            <w:tcW w:w="2677" w:type="dxa"/>
            <w:vAlign w:val="center"/>
            <w:textDirection w:val="lrTb"/>
            <w:noWrap w:val="false"/>
          </w:tcPr>
          <w:p>
            <w:pPr>
              <w:pStyle w:val="250"/>
              <w:rPr>
                <w:color w:val="auto"/>
              </w:rPr>
            </w:pPr>
            <w:r>
              <w:rPr>
                <w:color w:val="auto"/>
              </w:rPr>
              <w:t xml:space="preserve">Agesic</w:t>
            </w:r>
            <w:r/>
          </w:p>
        </w:tc>
        <w:tc>
          <w:tcPr>
            <w:shd w:val="clear" w:color="auto" w:fill="auto"/>
            <w:tcBorders>
              <w:top w:val="single" w:color="FFFFFF" w:sz="4" w:space="0"/>
            </w:tcBorders>
            <w:tcW w:w="1576" w:type="dxa"/>
            <w:vAlign w:val="center"/>
            <w:textDirection w:val="lrTb"/>
            <w:noWrap w:val="false"/>
          </w:tcPr>
          <w:p>
            <w:pPr>
              <w:pStyle w:val="250"/>
              <w:spacing w:after="120" w:before="120"/>
              <w:rPr>
                <w:color w:val="auto"/>
              </w:rPr>
            </w:pPr>
            <w:r>
              <w:rPr>
                <w:color w:val="auto"/>
              </w:rPr>
            </w:r>
            <w:r/>
          </w:p>
        </w:tc>
      </w:tr>
    </w:tbl>
    <w:p>
      <w:pPr>
        <w:pStyle w:val="244"/>
        <w:rPr>
          <w:lang w:val="es-UY"/>
        </w:rPr>
      </w:pPr>
      <w:r>
        <w:rPr>
          <w:lang w:val="es-UY"/>
        </w:rPr>
      </w:r>
      <w:r/>
    </w:p>
    <w:p>
      <w:pPr>
        <w:pStyle w:val="244"/>
        <w:rPr>
          <w:color w:val="auto"/>
        </w:rPr>
      </w:pPr>
      <w:r>
        <w:rPr>
          <w:color w:val="auto"/>
          <w:sz w:val="32"/>
        </w:rPr>
        <w:t xml:space="preserve">Próxima reunión</w:t>
      </w:r>
      <w:r>
        <w:rPr>
          <w:color w:val="auto"/>
          <w:sz w:val="32"/>
        </w:rPr>
        <w:t xml:space="preserve">: </w:t>
      </w:r>
      <w:r>
        <w:rPr>
          <w:color w:val="auto"/>
        </w:rPr>
        <w:t xml:space="preserve">17 de </w:t>
      </w:r>
      <w:r>
        <w:rPr>
          <w:color w:val="auto"/>
        </w:rPr>
        <w:t xml:space="preserve">marzo</w:t>
      </w:r>
      <w:r>
        <w:rPr>
          <w:color w:val="auto"/>
        </w:rPr>
        <w:t xml:space="preserve">, 1</w:t>
      </w:r>
      <w:r>
        <w:rPr>
          <w:color w:val="auto"/>
        </w:rPr>
        <w:t xml:space="preserve">2.</w:t>
      </w:r>
      <w:r>
        <w:rPr>
          <w:color w:val="auto"/>
        </w:rPr>
        <w:t xml:space="preserve">3</w:t>
      </w:r>
      <w:r>
        <w:rPr>
          <w:color w:val="auto"/>
        </w:rPr>
        <w:t xml:space="preserve">0 pm</w:t>
      </w:r>
      <w:r>
        <w:rPr>
          <w:color w:val="auto"/>
        </w:rPr>
        <w:t xml:space="preserve"> (UY)</w:t>
      </w:r>
      <w:r/>
    </w:p>
    <w:sectPr>
      <w:headerReference w:type="default" r:id="rId8"/>
      <w:headerReference w:type="even" r:id="rId9"/>
      <w:footerReference w:type="even" r:id="rId10"/>
      <w:footnotePr/>
      <w:type w:val="nextPage"/>
      <w:pgSz w:w="11906" w:h="16838"/>
      <w:pgMar w:top="0" w:right="1701" w:bottom="567" w:left="1701" w:gutter="0" w:header="137" w:footer="708"/>
      <w:cols w:num="1" w:sep="0" w:space="708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30102010509060703"/>
  </w:font>
  <w:font w:name="Courier New">
    <w:panose1 w:val="02070309020205020404"/>
  </w:font>
  <w:font w:name="Verdana">
    <w:panose1 w:val="020B0604030504040204"/>
  </w:font>
  <w:font w:name="Symbol">
    <w:panose1 w:val="05010000000000000000"/>
  </w:font>
  <w:font w:name="Microsoft Sans Serif">
    <w:panose1 w:val="020B0604020202020204"/>
  </w:font>
  <w:font w:name="Helvetica Neue">
    <w:panose1 w:val="020B0803030604020204"/>
  </w:font>
  <w:font w:name="Tahoma">
    <w:panose1 w:val="020B0604030504040204"/>
  </w:font>
  <w:font w:name="Consolas">
    <w:panose1 w:val="020B0604020202020204"/>
  </w:font>
  <w:font w:name="Cambria">
    <w:panose1 w:val="02020603050405020304"/>
  </w:font>
  <w:font w:name="Arial">
    <w:panose1 w:val="020B0604020202020204"/>
  </w:font>
  <w:font w:name="Arial Unicode MS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11"/>
      <w:jc w:val="right"/>
      <w:rPr>
        <w:rFonts w:ascii="Microsoft Sans Serif" w:hAnsi="Microsoft Sans Serif" w:cs="Microsoft Sans Serif"/>
        <w:i/>
        <w:sz w:val="18"/>
      </w:rPr>
    </w:pPr>
    <w:r>
      <w:rPr>
        <w:rFonts w:ascii="Microsoft Sans Serif" w:hAnsi="Microsoft Sans Serif" w:cs="Microsoft Sans Serif"/>
        <w:i/>
        <w:sz w:val="18"/>
      </w:rPr>
      <w:fldChar w:fldCharType="begin"/>
    </w:r>
    <w:r>
      <w:rPr>
        <w:rFonts w:ascii="Microsoft Sans Serif" w:hAnsi="Microsoft Sans Serif" w:cs="Microsoft Sans Serif"/>
        <w:i/>
        <w:sz w:val="18"/>
      </w:rPr>
      <w:instrText xml:space="preserve">PAGE   \* MERGEFORMAT</w:instrText>
    </w:r>
    <w:r>
      <w:rPr>
        <w:rFonts w:ascii="Microsoft Sans Serif" w:hAnsi="Microsoft Sans Serif" w:cs="Microsoft Sans Serif"/>
        <w:i/>
        <w:sz w:val="18"/>
      </w:rPr>
      <w:fldChar w:fldCharType="separate"/>
    </w:r>
    <w:r>
      <w:rPr>
        <w:rFonts w:ascii="Microsoft Sans Serif" w:hAnsi="Microsoft Sans Serif" w:cs="Microsoft Sans Serif"/>
        <w:i/>
        <w:sz w:val="18"/>
        <w:lang w:val="es-ES"/>
      </w:rPr>
      <w:t xml:space="preserve">6</w:t>
    </w:r>
    <w:r>
      <w:rPr>
        <w:rFonts w:ascii="Microsoft Sans Serif" w:hAnsi="Microsoft Sans Serif" w:cs="Microsoft Sans Serif"/>
        <w:i/>
        <w:sz w:val="18"/>
      </w:rPr>
      <w:fldChar w:fldCharType="end"/>
    </w:r>
    <w:r/>
  </w:p>
  <w:p>
    <w:pPr>
      <w:pStyle w:val="21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01"/>
      <w:rPr>
        <w:lang w:val="es-UY"/>
      </w:rPr>
    </w:pPr>
    <w:r>
      <w:rPr>
        <w:lang w:val="es-UY"/>
      </w:rPr>
      <w:drawing>
        <wp:anchor xmlns:wp="http://schemas.openxmlformats.org/drawingml/2006/wordprocessingDrawing" distT="0" distB="0" distL="114300" distR="114300" simplePos="0" relativeHeight="251657728" behindDoc="1" locked="0" layoutInCell="1" allowOverlap="1">
          <wp:simplePos x="0" y="0"/>
          <wp:positionH relativeFrom="column">
            <wp:posOffset>-1904</wp:posOffset>
          </wp:positionH>
          <wp:positionV relativeFrom="paragraph">
            <wp:posOffset>229234</wp:posOffset>
          </wp:positionV>
          <wp:extent cx="2174874" cy="551179"/>
          <wp:effectExtent l="0" t="0" r="0" b="0"/>
          <wp:wrapNone/>
          <wp:docPr id="1" name="Imagen 17" descr="C:\Users\carolina.coalla\AppData\Local\Microsoft\Windows\INetCache\Content.Word\Logos_escudo Agesic_color.png" hidden="false"/>
          <wp:cNvGraphicFramePr>
            <a:graphicFrameLocks xmlns:a="http://schemas.openxmlformats.org/drawingml/2006/main" noChangeAspect="true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17" descr="C:\Users\carolina.coalla\AppData\Local\Microsoft\Windows\INetCache\Content.Word\Logos_escudo Agesic_color.png" hidden="0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2174875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/>
  </w:p>
  <w:p>
    <w:pPr>
      <w:pStyle w:val="201"/>
      <w:rPr>
        <w:lang w:val="es-UY"/>
      </w:rPr>
    </w:pPr>
    <w:r>
      <w:rPr>
        <w:lang w:val="es-UY"/>
      </w:rPr>
    </w:r>
    <w:r/>
  </w:p>
  <w:p>
    <w:pPr>
      <w:pStyle w:val="201"/>
      <w:rPr>
        <w:lang w:val="es-UY"/>
      </w:rPr>
    </w:pPr>
    <w:r>
      <w:rPr>
        <w:lang w:val="es-UY"/>
      </w:rPr>
    </w:r>
    <w:r/>
  </w:p>
  <w:p>
    <w:pPr>
      <w:pStyle w:val="201"/>
      <w:rPr>
        <w:lang w:val="es-UY"/>
      </w:rPr>
    </w:pPr>
    <w:r>
      <w:rPr>
        <w:lang w:val="es-UY"/>
      </w:rPr>
    </w:r>
    <w:r/>
  </w:p>
  <w:p>
    <w:pPr>
      <w:pStyle w:val="201"/>
      <w:rPr>
        <w:lang w:val="es-UY"/>
      </w:rPr>
    </w:pPr>
    <w:r>
      <w:rPr>
        <w:lang w:val="es-UY"/>
      </w:rPr>
    </w:r>
    <w:r/>
  </w:p>
  <w:p>
    <w:pPr>
      <w:pStyle w:val="201"/>
      <w:rPr>
        <w:lang w:val="es-UY"/>
      </w:rPr>
    </w:pPr>
    <w:r>
      <w:rPr>
        <w:lang w:val="es-UY"/>
      </w:rPr>
    </w:r>
    <w:r/>
  </w:p>
  <w:p>
    <w:pPr>
      <w:pStyle w:val="201"/>
      <w:rPr>
        <w:lang w:val="es-UY"/>
      </w:rPr>
    </w:pPr>
    <w:r>
      <w:rPr>
        <w:lang w:val="es-UY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204"/>
      <w:rPr>
        <w:rFonts w:ascii="Arial" w:hAnsi="Arial" w:cs="Arial"/>
        <w:szCs w:val="22"/>
        <w:u w:val="single"/>
      </w:rPr>
    </w:pPr>
    <w:r>
      <w:rPr>
        <w:rFonts w:ascii="Arial" w:hAnsi="Arial" w:cs="Arial"/>
        <w:szCs w:val="22"/>
        <w:u w:val="single"/>
      </w:rPr>
    </w:r>
    <w:r/>
  </w:p>
  <w:p>
    <w:pPr>
      <w:pStyle w:val="204"/>
      <w:rPr>
        <w:rFonts w:ascii="Arial" w:hAnsi="Arial" w:cs="Arial"/>
        <w:szCs w:val="22"/>
        <w:u w:val="single"/>
      </w:rPr>
    </w:pPr>
    <w:r>
      <w:rPr>
        <w:rFonts w:ascii="Arial" w:hAnsi="Arial" w:cs="Arial"/>
        <w:szCs w:val="22"/>
        <w:u w:val="single"/>
      </w:rPr>
    </w:r>
    <w:r/>
  </w:p>
  <w:p>
    <w:pPr>
      <w:pStyle w:val="201"/>
    </w:pPr>
    <w:r/>
    <w:r/>
  </w:p>
  <w:p>
    <w:pPr>
      <w:pStyle w:val="20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9"/>
      </w:p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abstractNum w:abstractNumId="1">
    <w:multiLevelType w:val="hybridMultilevel"/>
    <w:styleLink w:val="239"/>
    <w:lvl w:ilvl="0">
      <w:start w:val="1"/>
      <w:numFmt w:val="bullet"/>
      <w:pStyle w:val="239"/>
      <w:suff w:val="tab"/>
      <w:lvlText w:val="·"/>
      <w:lvlJc w:val="left"/>
      <w:pPr>
        <w:ind w:left="720" w:hanging="359"/>
      </w:pPr>
      <w:rPr>
        <w:rFonts w:ascii="Symbol" w:hAnsi="Symbol" w:cs="Symbol" w:eastAsia="Symbol"/>
        <w:b w:val="false"/>
        <w:bCs w:val="false"/>
        <w:i w:val="false"/>
        <w:iCs w:val="false"/>
        <w:caps w:val="false"/>
        <w:smallCaps w:val="false"/>
        <w:strike w:val="false"/>
        <w:dstrike w:val="false"/>
        <w:color w:val="000000"/>
        <w:spacing w:val="0"/>
        <w:position w:val="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suff w:val="tab"/>
      <w:lvlText w:val="o"/>
      <w:lvlJc w:val="left"/>
      <w:pPr>
        <w:ind w:left="1473" w:hanging="392"/>
      </w:pPr>
      <w:rPr>
        <w:rFonts w:ascii="Arial Unicode MS" w:hAnsi="Arial Unicode MS" w:cs="Arial Unicode MS" w:eastAsia="Arial Unicode MS"/>
        <w:b w:val="false"/>
        <w:bCs w:val="false"/>
        <w:i w:val="false"/>
        <w:iCs w:val="false"/>
        <w:caps w:val="false"/>
        <w:smallCaps w:val="false"/>
        <w:strike w:val="false"/>
        <w:dstrike w:val="false"/>
        <w:color w:val="000000"/>
        <w:spacing w:val="0"/>
        <w:position w:val="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suff w:val="tab"/>
      <w:lvlText w:val="▪"/>
      <w:lvlJc w:val="left"/>
      <w:pPr>
        <w:ind w:left="2193" w:hanging="392"/>
      </w:pPr>
      <w:rPr>
        <w:rFonts w:ascii="Arial Unicode MS" w:hAnsi="Arial Unicode MS" w:cs="Arial Unicode MS" w:eastAsia="Arial Unicode MS"/>
        <w:b w:val="false"/>
        <w:bCs w:val="false"/>
        <w:i w:val="false"/>
        <w:iCs w:val="false"/>
        <w:caps w:val="false"/>
        <w:smallCaps w:val="false"/>
        <w:strike w:val="false"/>
        <w:dstrike w:val="false"/>
        <w:color w:val="000000"/>
        <w:spacing w:val="0"/>
        <w:position w:val="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suff w:val="tab"/>
      <w:lvlText w:val="·"/>
      <w:lvlJc w:val="left"/>
      <w:pPr>
        <w:ind w:left="2913" w:hanging="392"/>
      </w:pPr>
      <w:rPr>
        <w:rFonts w:ascii="Symbol" w:hAnsi="Symbol" w:cs="Symbol" w:eastAsia="Symbol"/>
        <w:b w:val="false"/>
        <w:bCs w:val="false"/>
        <w:i w:val="false"/>
        <w:iCs w:val="false"/>
        <w:caps w:val="false"/>
        <w:smallCaps w:val="false"/>
        <w:strike w:val="false"/>
        <w:dstrike w:val="false"/>
        <w:color w:val="000000"/>
        <w:spacing w:val="0"/>
        <w:position w:val="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suff w:val="tab"/>
      <w:lvlText w:val="o"/>
      <w:lvlJc w:val="left"/>
      <w:pPr>
        <w:ind w:left="3633" w:hanging="392"/>
      </w:pPr>
      <w:rPr>
        <w:rFonts w:ascii="Arial Unicode MS" w:hAnsi="Arial Unicode MS" w:cs="Arial Unicode MS" w:eastAsia="Arial Unicode MS"/>
        <w:b w:val="false"/>
        <w:bCs w:val="false"/>
        <w:i w:val="false"/>
        <w:iCs w:val="false"/>
        <w:caps w:val="false"/>
        <w:smallCaps w:val="false"/>
        <w:strike w:val="false"/>
        <w:dstrike w:val="false"/>
        <w:color w:val="000000"/>
        <w:spacing w:val="0"/>
        <w:position w:val="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suff w:val="tab"/>
      <w:lvlText w:val="▪"/>
      <w:lvlJc w:val="left"/>
      <w:pPr>
        <w:ind w:left="4353" w:hanging="392"/>
      </w:pPr>
      <w:rPr>
        <w:rFonts w:ascii="Arial Unicode MS" w:hAnsi="Arial Unicode MS" w:cs="Arial Unicode MS" w:eastAsia="Arial Unicode MS"/>
        <w:b w:val="false"/>
        <w:bCs w:val="false"/>
        <w:i w:val="false"/>
        <w:iCs w:val="false"/>
        <w:caps w:val="false"/>
        <w:smallCaps w:val="false"/>
        <w:strike w:val="false"/>
        <w:dstrike w:val="false"/>
        <w:color w:val="000000"/>
        <w:spacing w:val="0"/>
        <w:position w:val="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suff w:val="tab"/>
      <w:lvlText w:val="·"/>
      <w:lvlJc w:val="left"/>
      <w:pPr>
        <w:ind w:left="5073" w:hanging="392"/>
      </w:pPr>
      <w:rPr>
        <w:rFonts w:ascii="Symbol" w:hAnsi="Symbol" w:cs="Symbol" w:eastAsia="Symbol"/>
        <w:b w:val="false"/>
        <w:bCs w:val="false"/>
        <w:i w:val="false"/>
        <w:iCs w:val="false"/>
        <w:caps w:val="false"/>
        <w:smallCaps w:val="false"/>
        <w:strike w:val="false"/>
        <w:dstrike w:val="false"/>
        <w:color w:val="000000"/>
        <w:spacing w:val="0"/>
        <w:position w:val="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suff w:val="tab"/>
      <w:lvlText w:val="o"/>
      <w:lvlJc w:val="left"/>
      <w:pPr>
        <w:ind w:left="5793" w:hanging="392"/>
      </w:pPr>
      <w:rPr>
        <w:rFonts w:ascii="Arial Unicode MS" w:hAnsi="Arial Unicode MS" w:cs="Arial Unicode MS" w:eastAsia="Arial Unicode MS"/>
        <w:b w:val="false"/>
        <w:bCs w:val="false"/>
        <w:i w:val="false"/>
        <w:iCs w:val="false"/>
        <w:caps w:val="false"/>
        <w:smallCaps w:val="false"/>
        <w:strike w:val="false"/>
        <w:dstrike w:val="false"/>
        <w:color w:val="000000"/>
        <w:spacing w:val="0"/>
        <w:position w:val="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suff w:val="tab"/>
      <w:lvlText w:val="▪"/>
      <w:lvlJc w:val="left"/>
      <w:pPr>
        <w:ind w:left="6513" w:hanging="392"/>
      </w:pPr>
      <w:rPr>
        <w:rFonts w:ascii="Arial Unicode MS" w:hAnsi="Arial Unicode MS" w:cs="Arial Unicode MS" w:eastAsia="Arial Unicode MS"/>
        <w:b w:val="false"/>
        <w:bCs w:val="false"/>
        <w:i w:val="false"/>
        <w:iCs w:val="false"/>
        <w:caps w:val="false"/>
        <w:smallCaps w:val="false"/>
        <w:strike w:val="false"/>
        <w:dstrike w:val="false"/>
        <w:color w:val="000000"/>
        <w:spacing w:val="0"/>
        <w:position w:val="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ind w:left="360" w:hanging="359"/>
      </w:pPr>
    </w:lvl>
    <w:lvl w:ilvl="1">
      <w:start w:val="1"/>
      <w:numFmt w:val="lowerLetter"/>
      <w:suff w:val="tab"/>
      <w:lvlText w:val="%2."/>
      <w:lvlJc w:val="left"/>
      <w:pPr>
        <w:ind w:left="1080" w:hanging="359"/>
      </w:pPr>
    </w:lvl>
    <w:lvl w:ilvl="2">
      <w:start w:val="1"/>
      <w:numFmt w:val="lowerRoman"/>
      <w:suff w:val="tab"/>
      <w:lvlText w:val="%3."/>
      <w:lvlJc w:val="right"/>
      <w:pPr>
        <w:ind w:left="1800" w:hanging="179"/>
      </w:pPr>
    </w:lvl>
    <w:lvl w:ilvl="3">
      <w:start w:val="1"/>
      <w:numFmt w:val="decimal"/>
      <w:suff w:val="tab"/>
      <w:lvlText w:val="%4."/>
      <w:lvlJc w:val="left"/>
      <w:pPr>
        <w:ind w:left="2520" w:hanging="359"/>
      </w:pPr>
    </w:lvl>
    <w:lvl w:ilvl="4">
      <w:start w:val="1"/>
      <w:numFmt w:val="lowerLetter"/>
      <w:suff w:val="tab"/>
      <w:lvlText w:val="%5."/>
      <w:lvlJc w:val="left"/>
      <w:pPr>
        <w:ind w:left="3240" w:hanging="359"/>
      </w:pPr>
    </w:lvl>
    <w:lvl w:ilvl="5">
      <w:start w:val="1"/>
      <w:numFmt w:val="lowerRoman"/>
      <w:suff w:val="tab"/>
      <w:lvlText w:val="%6."/>
      <w:lvlJc w:val="right"/>
      <w:pPr>
        <w:ind w:left="3960" w:hanging="179"/>
      </w:pPr>
    </w:lvl>
    <w:lvl w:ilvl="6">
      <w:start w:val="1"/>
      <w:numFmt w:val="decimal"/>
      <w:suff w:val="tab"/>
      <w:lvlText w:val="%7."/>
      <w:lvlJc w:val="left"/>
      <w:pPr>
        <w:ind w:left="4680" w:hanging="359"/>
      </w:pPr>
    </w:lvl>
    <w:lvl w:ilvl="7">
      <w:start w:val="1"/>
      <w:numFmt w:val="lowerLetter"/>
      <w:suff w:val="tab"/>
      <w:lvlText w:val="%8."/>
      <w:lvlJc w:val="left"/>
      <w:pPr>
        <w:ind w:left="5400" w:hanging="359"/>
      </w:pPr>
    </w:lvl>
    <w:lvl w:ilvl="8">
      <w:start w:val="1"/>
      <w:numFmt w:val="lowerRoman"/>
      <w:suff w:val="tab"/>
      <w:lvlText w:val="%9."/>
      <w:lvlJc w:val="right"/>
      <w:pPr>
        <w:ind w:left="6120" w:hanging="179"/>
      </w:pPr>
    </w:lvl>
  </w:abstractNum>
  <w:abstractNum w:abstractNumId="3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9"/>
      </w:pPr>
      <w:rPr>
        <w:rFonts w:hint="default"/>
      </w:r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abstractNum w:abstractNumId="4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9"/>
      </w:pPr>
      <w:rPr>
        <w:rFonts w:hint="default"/>
        <w:b/>
      </w:rPr>
    </w:lvl>
    <w:lvl w:ilvl="1">
      <w:start w:val="1"/>
      <w:numFmt w:val="lowerLetter"/>
      <w:suff w:val="tab"/>
      <w:lvlText w:val="%2."/>
      <w:lvlJc w:val="left"/>
      <w:pPr>
        <w:ind w:left="1440" w:hanging="359"/>
      </w:pPr>
    </w:lvl>
    <w:lvl w:ilvl="2">
      <w:start w:val="1"/>
      <w:numFmt w:val="lowerRoman"/>
      <w:suff w:val="tab"/>
      <w:lvlText w:val="%3."/>
      <w:lvlJc w:val="right"/>
      <w:pPr>
        <w:ind w:left="2160" w:hanging="179"/>
      </w:pPr>
    </w:lvl>
    <w:lvl w:ilvl="3">
      <w:start w:val="1"/>
      <w:numFmt w:val="decimal"/>
      <w:suff w:val="tab"/>
      <w:lvlText w:val="%4."/>
      <w:lvlJc w:val="left"/>
      <w:pPr>
        <w:ind w:left="2880" w:hanging="359"/>
      </w:pPr>
    </w:lvl>
    <w:lvl w:ilvl="4">
      <w:start w:val="1"/>
      <w:numFmt w:val="lowerLetter"/>
      <w:suff w:val="tab"/>
      <w:lvlText w:val="%5."/>
      <w:lvlJc w:val="left"/>
      <w:pPr>
        <w:ind w:left="3600" w:hanging="359"/>
      </w:pPr>
    </w:lvl>
    <w:lvl w:ilvl="5">
      <w:start w:val="1"/>
      <w:numFmt w:val="lowerRoman"/>
      <w:suff w:val="tab"/>
      <w:lvlText w:val="%6."/>
      <w:lvlJc w:val="right"/>
      <w:pPr>
        <w:ind w:left="4320" w:hanging="179"/>
      </w:pPr>
    </w:lvl>
    <w:lvl w:ilvl="6">
      <w:start w:val="1"/>
      <w:numFmt w:val="decimal"/>
      <w:suff w:val="tab"/>
      <w:lvlText w:val="%7."/>
      <w:lvlJc w:val="left"/>
      <w:pPr>
        <w:ind w:left="5040" w:hanging="359"/>
      </w:pPr>
    </w:lvl>
    <w:lvl w:ilvl="7">
      <w:start w:val="1"/>
      <w:numFmt w:val="lowerLetter"/>
      <w:suff w:val="tab"/>
      <w:lvlText w:val="%8."/>
      <w:lvlJc w:val="left"/>
      <w:pPr>
        <w:ind w:left="5760" w:hanging="359"/>
      </w:pPr>
    </w:lvl>
    <w:lvl w:ilvl="8">
      <w:start w:val="1"/>
      <w:numFmt w:val="lowerRoman"/>
      <w:suff w:val="tab"/>
      <w:lvlText w:val="%9."/>
      <w:lvlJc w:val="right"/>
      <w:pPr>
        <w:ind w:left="6480" w:hanging="179"/>
      </w:pPr>
    </w:lvl>
  </w:abstractNum>
  <w:abstractNum w:abstractNumId="5">
    <w:multiLevelType w:val="hybridMultilevel"/>
    <w:lvl w:ilvl="0">
      <w:start w:val="1"/>
      <w:numFmt w:val="bullet"/>
      <w:suff w:val="tab"/>
      <w:lvlText w:val=""/>
      <w:lvlJc w:val="left"/>
      <w:pPr>
        <w:ind w:left="720" w:hanging="359"/>
      </w:pPr>
      <w:rPr>
        <w:rFonts w:ascii="Symbol" w:hAnsi="Symbol" w:hint="default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>
      <w:start w:val="1"/>
      <w:numFmt w:val="bullet"/>
      <w:suff w:val="tab"/>
      <w:lvlText w:val=""/>
      <w:lvlJc w:val="left"/>
      <w:pPr>
        <w:ind w:left="2880" w:hanging="359"/>
      </w:pPr>
      <w:rPr>
        <w:rFonts w:ascii="Symbol" w:hAnsi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>
      <w:start w:val="1"/>
      <w:numFmt w:val="bullet"/>
      <w:suff w:val="tab"/>
      <w:lvlText w:val=""/>
      <w:lvlJc w:val="left"/>
      <w:pPr>
        <w:ind w:left="5040" w:hanging="359"/>
      </w:pPr>
      <w:rPr>
        <w:rFonts w:ascii="Symbol" w:hAnsi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6">
    <w:multiLevelType w:val="hybridMultilevel"/>
    <w:styleLink w:val="240"/>
    <w:lvl w:ilvl="0">
      <w:start w:val="1"/>
      <w:numFmt w:val="bullet"/>
      <w:pStyle w:val="240"/>
      <w:suff w:val="tab"/>
      <w:lvlText w:val="·"/>
      <w:lvlJc w:val="left"/>
      <w:pPr>
        <w:ind w:left="720" w:hanging="359"/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</w:tabs>
      </w:pPr>
      <w:rPr>
        <w:rFonts w:ascii="Symbol" w:hAnsi="Symbol" w:cs="Symbol" w:eastAsia="Symbol"/>
        <w:b w:val="false"/>
        <w:bCs w:val="false"/>
        <w:i w:val="false"/>
        <w:iCs w:val="false"/>
        <w:caps w:val="false"/>
        <w:smallCaps w:val="false"/>
        <w:strike w:val="false"/>
        <w:dstrike w:val="false"/>
        <w:color w:val="000000"/>
        <w:spacing w:val="0"/>
        <w:position w:val="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suff w:val="tab"/>
      <w:lvlText w:val="o"/>
      <w:lvlJc w:val="left"/>
      <w:pPr>
        <w:ind w:left="1473" w:hanging="392"/>
        <w:tabs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</w:tabs>
      </w:pPr>
      <w:rPr>
        <w:rFonts w:ascii="Arial Unicode MS" w:hAnsi="Arial Unicode MS" w:cs="Arial Unicode MS" w:eastAsia="Arial Unicode MS"/>
        <w:b w:val="false"/>
        <w:bCs w:val="false"/>
        <w:i w:val="false"/>
        <w:iCs w:val="false"/>
        <w:caps w:val="false"/>
        <w:smallCaps w:val="false"/>
        <w:strike w:val="false"/>
        <w:dstrike w:val="false"/>
        <w:color w:val="000000"/>
        <w:spacing w:val="0"/>
        <w:position w:val="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suff w:val="tab"/>
      <w:lvlText w:val="▪"/>
      <w:lvlJc w:val="left"/>
      <w:pPr>
        <w:ind w:left="2193" w:hanging="392"/>
        <w:tabs>
          <w:tab w:val="left" w:pos="144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</w:tabs>
      </w:pPr>
      <w:rPr>
        <w:rFonts w:ascii="Arial Unicode MS" w:hAnsi="Arial Unicode MS" w:cs="Arial Unicode MS" w:eastAsia="Arial Unicode MS"/>
        <w:b w:val="false"/>
        <w:bCs w:val="false"/>
        <w:i w:val="false"/>
        <w:iCs w:val="false"/>
        <w:caps w:val="false"/>
        <w:smallCaps w:val="false"/>
        <w:strike w:val="false"/>
        <w:dstrike w:val="false"/>
        <w:color w:val="000000"/>
        <w:spacing w:val="0"/>
        <w:position w:val="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suff w:val="tab"/>
      <w:lvlText w:val="·"/>
      <w:lvlJc w:val="left"/>
      <w:pPr>
        <w:ind w:left="2913" w:hanging="392"/>
        <w:tabs>
          <w:tab w:val="left" w:pos="1440" w:leader="none"/>
          <w:tab w:val="left" w:pos="216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</w:tabs>
      </w:pPr>
      <w:rPr>
        <w:rFonts w:ascii="Symbol" w:hAnsi="Symbol" w:cs="Symbol" w:eastAsia="Symbol"/>
        <w:b w:val="false"/>
        <w:bCs w:val="false"/>
        <w:i w:val="false"/>
        <w:iCs w:val="false"/>
        <w:caps w:val="false"/>
        <w:smallCaps w:val="false"/>
        <w:strike w:val="false"/>
        <w:dstrike w:val="false"/>
        <w:color w:val="000000"/>
        <w:spacing w:val="0"/>
        <w:position w:val="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suff w:val="tab"/>
      <w:lvlText w:val="o"/>
      <w:lvlJc w:val="left"/>
      <w:pPr>
        <w:ind w:left="3633" w:hanging="392"/>
        <w:tabs>
          <w:tab w:val="left" w:pos="1440" w:leader="none"/>
          <w:tab w:val="left" w:pos="2160" w:leader="none"/>
          <w:tab w:val="left" w:pos="2880" w:leader="none"/>
          <w:tab w:val="left" w:pos="432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</w:tabs>
      </w:pPr>
      <w:rPr>
        <w:rFonts w:ascii="Arial Unicode MS" w:hAnsi="Arial Unicode MS" w:cs="Arial Unicode MS" w:eastAsia="Arial Unicode MS"/>
        <w:b w:val="false"/>
        <w:bCs w:val="false"/>
        <w:i w:val="false"/>
        <w:iCs w:val="false"/>
        <w:caps w:val="false"/>
        <w:smallCaps w:val="false"/>
        <w:strike w:val="false"/>
        <w:dstrike w:val="false"/>
        <w:color w:val="000000"/>
        <w:spacing w:val="0"/>
        <w:position w:val="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suff w:val="tab"/>
      <w:lvlText w:val="▪"/>
      <w:lvlJc w:val="left"/>
      <w:pPr>
        <w:ind w:left="4353" w:hanging="392"/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5040" w:leader="none"/>
          <w:tab w:val="left" w:pos="5760" w:leader="none"/>
          <w:tab w:val="left" w:pos="6480" w:leader="none"/>
          <w:tab w:val="left" w:pos="7200" w:leader="none"/>
          <w:tab w:val="left" w:pos="7920" w:leader="none"/>
        </w:tabs>
      </w:pPr>
      <w:rPr>
        <w:rFonts w:ascii="Arial Unicode MS" w:hAnsi="Arial Unicode MS" w:cs="Arial Unicode MS" w:eastAsia="Arial Unicode MS"/>
        <w:b w:val="false"/>
        <w:bCs w:val="false"/>
        <w:i w:val="false"/>
        <w:iCs w:val="false"/>
        <w:caps w:val="false"/>
        <w:smallCaps w:val="false"/>
        <w:strike w:val="false"/>
        <w:dstrike w:val="false"/>
        <w:color w:val="000000"/>
        <w:spacing w:val="0"/>
        <w:position w:val="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suff w:val="tab"/>
      <w:lvlText w:val="·"/>
      <w:lvlJc w:val="left"/>
      <w:pPr>
        <w:ind w:left="5073" w:hanging="392"/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760" w:leader="none"/>
          <w:tab w:val="left" w:pos="6480" w:leader="none"/>
          <w:tab w:val="left" w:pos="7200" w:leader="none"/>
          <w:tab w:val="left" w:pos="7920" w:leader="none"/>
        </w:tabs>
      </w:pPr>
      <w:rPr>
        <w:rFonts w:ascii="Symbol" w:hAnsi="Symbol" w:cs="Symbol" w:eastAsia="Symbol"/>
        <w:b w:val="false"/>
        <w:bCs w:val="false"/>
        <w:i w:val="false"/>
        <w:iCs w:val="false"/>
        <w:caps w:val="false"/>
        <w:smallCaps w:val="false"/>
        <w:strike w:val="false"/>
        <w:dstrike w:val="false"/>
        <w:color w:val="000000"/>
        <w:spacing w:val="0"/>
        <w:position w:val="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suff w:val="tab"/>
      <w:lvlText w:val="o"/>
      <w:lvlJc w:val="left"/>
      <w:pPr>
        <w:ind w:left="5793" w:hanging="392"/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6480" w:leader="none"/>
          <w:tab w:val="left" w:pos="7200" w:leader="none"/>
          <w:tab w:val="left" w:pos="7920" w:leader="none"/>
        </w:tabs>
      </w:pPr>
      <w:rPr>
        <w:rFonts w:ascii="Arial Unicode MS" w:hAnsi="Arial Unicode MS" w:cs="Arial Unicode MS" w:eastAsia="Arial Unicode MS"/>
        <w:b w:val="false"/>
        <w:bCs w:val="false"/>
        <w:i w:val="false"/>
        <w:iCs w:val="false"/>
        <w:caps w:val="false"/>
        <w:smallCaps w:val="false"/>
        <w:strike w:val="false"/>
        <w:dstrike w:val="false"/>
        <w:color w:val="000000"/>
        <w:spacing w:val="0"/>
        <w:position w:val="0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suff w:val="tab"/>
      <w:lvlText w:val="▪"/>
      <w:lvlJc w:val="left"/>
      <w:pPr>
        <w:ind w:left="6513" w:hanging="392"/>
        <w:tabs>
          <w:tab w:val="left" w:pos="1440" w:leader="none"/>
          <w:tab w:val="left" w:pos="2160" w:leader="none"/>
          <w:tab w:val="left" w:pos="2880" w:leader="none"/>
          <w:tab w:val="left" w:pos="3600" w:leader="none"/>
          <w:tab w:val="left" w:pos="4320" w:leader="none"/>
          <w:tab w:val="left" w:pos="5040" w:leader="none"/>
          <w:tab w:val="left" w:pos="5760" w:leader="none"/>
          <w:tab w:val="left" w:pos="7200" w:leader="none"/>
          <w:tab w:val="left" w:pos="7920" w:leader="none"/>
        </w:tabs>
      </w:pPr>
      <w:rPr>
        <w:rFonts w:ascii="Arial Unicode MS" w:hAnsi="Arial Unicode MS" w:cs="Arial Unicode MS" w:eastAsia="Arial Unicode MS"/>
        <w:b w:val="false"/>
        <w:bCs w:val="false"/>
        <w:i w:val="false"/>
        <w:iCs w:val="false"/>
        <w:caps w:val="false"/>
        <w:smallCaps w:val="false"/>
        <w:strike w:val="false"/>
        <w:dstrike w:val="false"/>
        <w:color w:val="000000"/>
        <w:spacing w:val="0"/>
        <w:position w:val="0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false"/>
    <m:wrapIndent m:val="1440"/>
  </m:mathPr>
  <w:trackRevisions/>
  <w:footnotePr>
    <w:footnote w:id="-1"/>
    <w:footnote w:id="0"/>
    <w:numFmt w:val="decimal"/>
    <w:numRestart w:val="continuous"/>
    <w:numStart w:val="1"/>
    <w:pos w:val="pageBottom"/>
  </w:footnotePr>
  <w:evenAndOddHeaders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Times New Roman" w:eastAsia="Calibri"/>
        <w:color w:val="auto"/>
        <w:spacing w:val="0"/>
        <w:position w:val="0"/>
        <w:sz w:val="20"/>
        <w:szCs w:val="22"/>
        <w:lang w:val="es-UY" w:bidi="ar-SA" w:eastAsia="es-UY"/>
      </w:rPr>
    </w:rPrDefault>
    <w:pPrDefault>
      <w:pPr>
        <w:ind w:left="0" w:right="0" w:hanging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195"/>
    <w:link w:val="193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195"/>
    <w:link w:val="194"/>
    <w:uiPriority w:val="9"/>
    <w:rPr>
      <w:rFonts w:ascii="Arial" w:hAnsi="Arial" w:cs="Arial" w:eastAsia="Arial"/>
      <w:sz w:val="34"/>
    </w:rPr>
  </w:style>
  <w:style w:type="paragraph" w:styleId="15">
    <w:name w:val="Heading 3"/>
    <w:basedOn w:val="192"/>
    <w:next w:val="192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195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192"/>
    <w:next w:val="192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195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192"/>
    <w:next w:val="192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195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192"/>
    <w:next w:val="192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195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192"/>
    <w:next w:val="192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195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192"/>
    <w:next w:val="192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195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192"/>
    <w:next w:val="192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195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192"/>
    <w:next w:val="192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195"/>
    <w:link w:val="32"/>
    <w:uiPriority w:val="10"/>
    <w:rPr>
      <w:sz w:val="48"/>
      <w:szCs w:val="48"/>
    </w:rPr>
  </w:style>
  <w:style w:type="paragraph" w:styleId="34">
    <w:name w:val="Subtitle"/>
    <w:basedOn w:val="192"/>
    <w:next w:val="192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195"/>
    <w:link w:val="34"/>
    <w:uiPriority w:val="11"/>
    <w:rPr>
      <w:sz w:val="24"/>
      <w:szCs w:val="24"/>
    </w:rPr>
  </w:style>
  <w:style w:type="paragraph" w:styleId="36">
    <w:name w:val="Quote"/>
    <w:basedOn w:val="192"/>
    <w:next w:val="192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192"/>
    <w:next w:val="192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character" w:styleId="41">
    <w:name w:val="Header Char"/>
    <w:basedOn w:val="195"/>
    <w:link w:val="201"/>
    <w:uiPriority w:val="99"/>
  </w:style>
  <w:style w:type="character" w:styleId="43">
    <w:name w:val="Footer Char"/>
    <w:basedOn w:val="195"/>
    <w:link w:val="211"/>
    <w:uiPriority w:val="99"/>
  </w:style>
  <w:style w:type="table" w:styleId="45">
    <w:name w:val="Lined"/>
    <w:basedOn w:val="19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46">
    <w:name w:val="Lined - Accent 1"/>
    <w:basedOn w:val="19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47">
    <w:name w:val="Lined - Accent 2"/>
    <w:basedOn w:val="19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48">
    <w:name w:val="Lined - Accent 3"/>
    <w:basedOn w:val="19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49">
    <w:name w:val="Lined - Accent 4"/>
    <w:basedOn w:val="19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50">
    <w:name w:val="Lined - Accent 5"/>
    <w:basedOn w:val="19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51">
    <w:name w:val="Lined - Accent 6"/>
    <w:basedOn w:val="19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52">
    <w:name w:val="Bordered"/>
    <w:basedOn w:val="1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53">
    <w:name w:val="Bordered - Accent 1"/>
    <w:basedOn w:val="1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54">
    <w:name w:val="Bordered - Accent 2"/>
    <w:basedOn w:val="1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55">
    <w:name w:val="Bordered - Accent 3"/>
    <w:basedOn w:val="1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56">
    <w:name w:val="Bordered - Accent 4"/>
    <w:basedOn w:val="1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57">
    <w:name w:val="Bordered - Accent 5"/>
    <w:basedOn w:val="1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58">
    <w:name w:val="Bordered - Accent 6"/>
    <w:basedOn w:val="19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59">
    <w:name w:val="Bordered &amp; Lined"/>
    <w:basedOn w:val="19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">
    <w:name w:val="Bordered &amp; Lined - Accent 1"/>
    <w:basedOn w:val="19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61">
    <w:name w:val="Bordered &amp; Lined - Accent 2"/>
    <w:basedOn w:val="19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62">
    <w:name w:val="Bordered &amp; Lined - Accent 3"/>
    <w:basedOn w:val="19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63">
    <w:name w:val="Bordered &amp; Lined - Accent 4"/>
    <w:basedOn w:val="19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64">
    <w:name w:val="Bordered &amp; Lined - Accent 5"/>
    <w:basedOn w:val="19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5">
    <w:name w:val="Bordered &amp; Lined - Accent 6"/>
    <w:basedOn w:val="19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paragraph" w:styleId="67">
    <w:name w:val="footnote text"/>
    <w:basedOn w:val="192"/>
    <w:link w:val="68"/>
    <w:uiPriority w:val="99"/>
    <w:semiHidden/>
    <w:unhideWhenUsed/>
    <w:rPr>
      <w:sz w:val="18"/>
    </w:rPr>
    <w:pPr>
      <w:spacing w:lineRule="auto" w:line="240" w:after="40"/>
    </w:pPr>
  </w:style>
  <w:style w:type="character" w:styleId="68">
    <w:name w:val="Footnote Text Char"/>
    <w:link w:val="67"/>
    <w:uiPriority w:val="99"/>
    <w:rPr>
      <w:sz w:val="18"/>
    </w:rPr>
  </w:style>
  <w:style w:type="character" w:styleId="69">
    <w:name w:val="footnote reference"/>
    <w:basedOn w:val="195"/>
    <w:uiPriority w:val="99"/>
    <w:unhideWhenUsed/>
    <w:rPr>
      <w:vertAlign w:val="superscript"/>
    </w:rPr>
  </w:style>
  <w:style w:type="paragraph" w:styleId="70">
    <w:name w:val="toc 1"/>
    <w:basedOn w:val="192"/>
    <w:next w:val="192"/>
    <w:uiPriority w:val="39"/>
    <w:unhideWhenUsed/>
    <w:pPr>
      <w:ind w:left="0" w:right="0" w:hanging="0"/>
      <w:spacing w:after="57"/>
    </w:pPr>
  </w:style>
  <w:style w:type="paragraph" w:styleId="71">
    <w:name w:val="toc 2"/>
    <w:basedOn w:val="192"/>
    <w:next w:val="192"/>
    <w:uiPriority w:val="39"/>
    <w:unhideWhenUsed/>
    <w:pPr>
      <w:ind w:left="283" w:right="0" w:hanging="0"/>
      <w:spacing w:after="57"/>
    </w:pPr>
  </w:style>
  <w:style w:type="paragraph" w:styleId="72">
    <w:name w:val="toc 3"/>
    <w:basedOn w:val="192"/>
    <w:next w:val="192"/>
    <w:uiPriority w:val="39"/>
    <w:unhideWhenUsed/>
    <w:pPr>
      <w:ind w:left="567" w:right="0" w:hanging="0"/>
      <w:spacing w:after="57"/>
    </w:pPr>
  </w:style>
  <w:style w:type="paragraph" w:styleId="73">
    <w:name w:val="toc 4"/>
    <w:basedOn w:val="192"/>
    <w:next w:val="192"/>
    <w:uiPriority w:val="39"/>
    <w:unhideWhenUsed/>
    <w:pPr>
      <w:ind w:left="850" w:right="0" w:hanging="0"/>
      <w:spacing w:after="57"/>
    </w:pPr>
  </w:style>
  <w:style w:type="paragraph" w:styleId="74">
    <w:name w:val="toc 5"/>
    <w:basedOn w:val="192"/>
    <w:next w:val="192"/>
    <w:uiPriority w:val="39"/>
    <w:unhideWhenUsed/>
    <w:pPr>
      <w:ind w:left="1134" w:right="0" w:hanging="0"/>
      <w:spacing w:after="57"/>
    </w:pPr>
  </w:style>
  <w:style w:type="paragraph" w:styleId="75">
    <w:name w:val="toc 6"/>
    <w:basedOn w:val="192"/>
    <w:next w:val="192"/>
    <w:uiPriority w:val="39"/>
    <w:unhideWhenUsed/>
    <w:pPr>
      <w:ind w:left="1417" w:right="0" w:hanging="0"/>
      <w:spacing w:after="57"/>
    </w:pPr>
  </w:style>
  <w:style w:type="paragraph" w:styleId="76">
    <w:name w:val="toc 7"/>
    <w:basedOn w:val="192"/>
    <w:next w:val="192"/>
    <w:uiPriority w:val="39"/>
    <w:unhideWhenUsed/>
    <w:pPr>
      <w:ind w:left="1701" w:right="0" w:hanging="0"/>
      <w:spacing w:after="57"/>
    </w:pPr>
  </w:style>
  <w:style w:type="paragraph" w:styleId="77">
    <w:name w:val="toc 8"/>
    <w:basedOn w:val="192"/>
    <w:next w:val="192"/>
    <w:uiPriority w:val="39"/>
    <w:unhideWhenUsed/>
    <w:pPr>
      <w:ind w:left="1984" w:right="0" w:hanging="0"/>
      <w:spacing w:after="57"/>
    </w:pPr>
  </w:style>
  <w:style w:type="paragraph" w:styleId="78">
    <w:name w:val="toc 9"/>
    <w:basedOn w:val="192"/>
    <w:next w:val="192"/>
    <w:uiPriority w:val="39"/>
    <w:unhideWhenUsed/>
    <w:pPr>
      <w:ind w:left="2268" w:right="0" w:hanging="0"/>
      <w:spacing w:after="57"/>
    </w:pPr>
  </w:style>
  <w:style w:type="paragraph" w:styleId="79">
    <w:name w:val="TOC Heading"/>
    <w:uiPriority w:val="39"/>
    <w:unhideWhenUsed/>
  </w:style>
  <w:style w:type="paragraph" w:styleId="192" w:default="1">
    <w:name w:val="Normal"/>
    <w:qFormat/>
    <w:rPr>
      <w:sz w:val="22"/>
      <w:szCs w:val="22"/>
    </w:rPr>
  </w:style>
  <w:style w:type="paragraph" w:styleId="193">
    <w:name w:val="Heading 1"/>
    <w:basedOn w:val="192"/>
    <w:link w:val="219"/>
    <w:qFormat/>
    <w:uiPriority w:val="9"/>
    <w:rPr>
      <w:rFonts w:ascii="Times New Roman" w:hAnsi="Times New Roman" w:eastAsia="Times New Roman"/>
      <w:b/>
      <w:bCs/>
      <w:sz w:val="48"/>
      <w:szCs w:val="48"/>
    </w:rPr>
    <w:pPr>
      <w:spacing w:after="100" w:afterAutospacing="1" w:before="100" w:beforeAutospacing="1"/>
      <w:outlineLvl w:val="0"/>
    </w:pPr>
  </w:style>
  <w:style w:type="paragraph" w:styleId="194">
    <w:name w:val="Heading 2"/>
    <w:basedOn w:val="192"/>
    <w:next w:val="192"/>
    <w:link w:val="235"/>
    <w:qFormat/>
    <w:uiPriority w:val="9"/>
    <w:semiHidden/>
    <w:unhideWhenUsed/>
    <w:rPr>
      <w:rFonts w:ascii="Cambria" w:hAnsi="Cambria" w:eastAsia="Times New Roman"/>
      <w:b/>
      <w:bCs/>
      <w:i/>
      <w:iCs/>
      <w:sz w:val="28"/>
      <w:szCs w:val="28"/>
    </w:rPr>
    <w:pPr>
      <w:keepNext/>
      <w:spacing w:after="60" w:before="240"/>
      <w:outlineLvl w:val="1"/>
    </w:pPr>
  </w:style>
  <w:style w:type="character" w:styleId="195" w:default="1">
    <w:name w:val="Default Paragraph Font"/>
    <w:uiPriority w:val="1"/>
    <w:semiHidden/>
    <w:unhideWhenUsed/>
  </w:style>
  <w:style w:type="table" w:styleId="1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97" w:default="1">
    <w:name w:val="No List"/>
    <w:uiPriority w:val="99"/>
    <w:semiHidden/>
    <w:unhideWhenUsed/>
  </w:style>
  <w:style w:type="paragraph" w:styleId="198">
    <w:name w:val="Plain Text"/>
    <w:basedOn w:val="192"/>
    <w:link w:val="199"/>
    <w:unhideWhenUsed/>
    <w:rPr>
      <w:rFonts w:ascii="Consolas" w:hAnsi="Consolas"/>
      <w:sz w:val="21"/>
      <w:szCs w:val="21"/>
    </w:rPr>
  </w:style>
  <w:style w:type="character" w:styleId="199" w:customStyle="1">
    <w:name w:val="Texto sin formato Car"/>
    <w:link w:val="198"/>
    <w:rPr>
      <w:rFonts w:ascii="Consolas" w:hAnsi="Consolas" w:cs="Times New Roman"/>
      <w:sz w:val="21"/>
      <w:szCs w:val="21"/>
      <w:lang w:eastAsia="es-UY"/>
    </w:rPr>
  </w:style>
  <w:style w:type="paragraph" w:styleId="200">
    <w:name w:val="List Paragraph"/>
    <w:basedOn w:val="192"/>
    <w:qFormat/>
    <w:pPr>
      <w:ind w:left="720"/>
    </w:pPr>
  </w:style>
  <w:style w:type="paragraph" w:styleId="201">
    <w:name w:val="Header"/>
    <w:basedOn w:val="192"/>
    <w:link w:val="205"/>
    <w:uiPriority w:val="99"/>
    <w:unhideWhenUsed/>
    <w:rPr>
      <w:rFonts w:ascii="Times New Roman" w:hAnsi="Times New Roman" w:eastAsia="Arial Unicode MS"/>
      <w:sz w:val="24"/>
      <w:szCs w:val="24"/>
      <w:lang w:val="en-US"/>
    </w:rPr>
    <w:pPr>
      <w:widowControl w:val="off"/>
      <w:tabs>
        <w:tab w:val="center" w:pos="4252" w:leader="none"/>
        <w:tab w:val="right" w:pos="8504" w:leader="none"/>
      </w:tabs>
    </w:pPr>
  </w:style>
  <w:style w:type="character" w:styleId="202" w:customStyle="1">
    <w:name w:val="Encabezado Car"/>
    <w:uiPriority w:val="99"/>
    <w:semiHidden/>
    <w:rPr>
      <w:rFonts w:ascii="Calibri" w:hAnsi="Calibri" w:cs="Times New Roman"/>
      <w:lang w:eastAsia="es-UY"/>
    </w:rPr>
  </w:style>
  <w:style w:type="paragraph" w:styleId="203" w:customStyle="1">
    <w:name w:val="Standard"/>
    <w:rPr>
      <w:rFonts w:ascii="Times New Roman" w:hAnsi="Times New Roman" w:eastAsia="Arial Unicode MS"/>
      <w:sz w:val="24"/>
      <w:szCs w:val="24"/>
      <w:lang w:val="en-US"/>
    </w:rPr>
    <w:pPr>
      <w:widowControl w:val="off"/>
    </w:pPr>
  </w:style>
  <w:style w:type="paragraph" w:styleId="204" w:customStyle="1">
    <w:name w:val="Default Text"/>
    <w:uiPriority w:val="99"/>
    <w:rPr>
      <w:rFonts w:ascii="Tahoma" w:hAnsi="Tahoma" w:eastAsia="Arial"/>
      <w:sz w:val="22"/>
    </w:rPr>
    <w:pPr>
      <w:widowControl w:val="off"/>
    </w:pPr>
  </w:style>
  <w:style w:type="character" w:styleId="205" w:customStyle="1">
    <w:name w:val="Encabezado Car1"/>
    <w:link w:val="201"/>
    <w:uiPriority w:val="99"/>
    <w:rPr>
      <w:rFonts w:ascii="Times New Roman" w:hAnsi="Times New Roman" w:cs="Tahoma" w:eastAsia="Arial Unicode MS"/>
      <w:sz w:val="24"/>
      <w:szCs w:val="24"/>
      <w:lang w:val="en-US" w:eastAsia="es-UY"/>
    </w:rPr>
  </w:style>
  <w:style w:type="paragraph" w:styleId="206">
    <w:name w:val="Normal (Web)"/>
    <w:basedOn w:val="192"/>
    <w:uiPriority w:val="99"/>
    <w:unhideWhenUsed/>
    <w:rPr>
      <w:rFonts w:ascii="Times New Roman" w:hAnsi="Times New Roman" w:eastAsia="Times New Roman"/>
      <w:sz w:val="24"/>
      <w:szCs w:val="24"/>
    </w:rPr>
    <w:pPr>
      <w:spacing w:after="100" w:afterAutospacing="1" w:before="100" w:beforeAutospacing="1"/>
    </w:pPr>
  </w:style>
  <w:style w:type="paragraph" w:styleId="207">
    <w:name w:val="No Spacing"/>
    <w:qFormat/>
    <w:uiPriority w:val="1"/>
    <w:rPr>
      <w:sz w:val="22"/>
      <w:szCs w:val="22"/>
    </w:rPr>
  </w:style>
  <w:style w:type="character" w:styleId="208" w:customStyle="1">
    <w:name w:val="object2"/>
    <w:rPr>
      <w:strike w:val="false"/>
      <w:dstrike w:val="false"/>
      <w:color w:val="00008B"/>
      <w:u w:val="none"/>
    </w:rPr>
  </w:style>
  <w:style w:type="character" w:styleId="209" w:customStyle="1">
    <w:name w:val="apple-style-span"/>
    <w:basedOn w:val="195"/>
  </w:style>
  <w:style w:type="character" w:styleId="210" w:customStyle="1">
    <w:name w:val="object3"/>
    <w:rPr>
      <w:strike w:val="false"/>
      <w:dstrike w:val="false"/>
      <w:color w:val="00008B"/>
      <w:u w:val="none"/>
    </w:rPr>
  </w:style>
  <w:style w:type="paragraph" w:styleId="211">
    <w:name w:val="Footer"/>
    <w:basedOn w:val="192"/>
    <w:link w:val="212"/>
    <w:uiPriority w:val="99"/>
    <w:unhideWhenUsed/>
    <w:rPr>
      <w:sz w:val="20"/>
      <w:szCs w:val="20"/>
    </w:rPr>
    <w:pPr>
      <w:tabs>
        <w:tab w:val="center" w:pos="4252" w:leader="none"/>
        <w:tab w:val="right" w:pos="8504" w:leader="none"/>
      </w:tabs>
    </w:pPr>
  </w:style>
  <w:style w:type="character" w:styleId="212" w:customStyle="1">
    <w:name w:val="Pie de página Car"/>
    <w:link w:val="211"/>
    <w:uiPriority w:val="99"/>
    <w:rPr>
      <w:rFonts w:ascii="Calibri" w:hAnsi="Calibri" w:cs="Times New Roman"/>
      <w:lang w:eastAsia="es-UY"/>
    </w:rPr>
  </w:style>
  <w:style w:type="character" w:styleId="213">
    <w:name w:val="line number"/>
    <w:basedOn w:val="195"/>
    <w:uiPriority w:val="99"/>
    <w:semiHidden/>
    <w:unhideWhenUsed/>
  </w:style>
  <w:style w:type="character" w:styleId="214">
    <w:name w:val="Strong"/>
    <w:qFormat/>
    <w:uiPriority w:val="22"/>
    <w:rPr>
      <w:b/>
      <w:bCs/>
    </w:rPr>
  </w:style>
  <w:style w:type="character" w:styleId="215">
    <w:name w:val="Hyperlink"/>
    <w:uiPriority w:val="99"/>
    <w:unhideWhenUsed/>
    <w:rPr>
      <w:color w:val="0000FF"/>
      <w:u w:val="single"/>
    </w:rPr>
  </w:style>
  <w:style w:type="paragraph" w:styleId="216" w:customStyle="1">
    <w:name w:val="Normal1"/>
    <w:basedOn w:val="192"/>
    <w:rPr>
      <w:rFonts w:ascii="Arial" w:hAnsi="Arial" w:cs="Arial"/>
    </w:rPr>
    <w:pPr>
      <w:ind w:left="357"/>
      <w:jc w:val="both"/>
      <w:spacing w:lineRule="atLeast" w:line="100" w:before="120"/>
    </w:pPr>
  </w:style>
  <w:style w:type="character" w:styleId="217" w:customStyle="1">
    <w:name w:val="panelcongreso"/>
    <w:basedOn w:val="195"/>
    <w:uiPriority w:val="99"/>
  </w:style>
  <w:style w:type="paragraph" w:styleId="218" w:customStyle="1">
    <w:name w:val="documentdescription"/>
    <w:basedOn w:val="192"/>
    <w:rPr>
      <w:rFonts w:ascii="Times New Roman" w:hAnsi="Times New Roman" w:eastAsia="Times New Roman"/>
      <w:sz w:val="24"/>
      <w:szCs w:val="24"/>
    </w:rPr>
    <w:pPr>
      <w:spacing w:after="100" w:afterAutospacing="1" w:before="100" w:beforeAutospacing="1"/>
    </w:pPr>
  </w:style>
  <w:style w:type="character" w:styleId="219" w:customStyle="1">
    <w:name w:val="Título 1 Car"/>
    <w:link w:val="193"/>
    <w:uiPriority w:val="9"/>
    <w:rPr>
      <w:rFonts w:ascii="Times New Roman" w:hAnsi="Times New Roman" w:cs="Times New Roman" w:eastAsia="Times New Roman"/>
      <w:b/>
      <w:bCs/>
      <w:sz w:val="48"/>
      <w:szCs w:val="48"/>
      <w:lang w:eastAsia="es-UY"/>
    </w:rPr>
  </w:style>
  <w:style w:type="table" w:styleId="220">
    <w:name w:val="Table Grid"/>
    <w:basedOn w:val="196"/>
    <w:uiPriority w:val="59"/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</w:tblPr>
  </w:style>
  <w:style w:type="character" w:styleId="221" w:customStyle="1">
    <w:name w:val="liushit"/>
    <w:rPr>
      <w:b/>
      <w:bCs/>
    </w:rPr>
  </w:style>
  <w:style w:type="character" w:styleId="222">
    <w:name w:val="annotation reference"/>
    <w:uiPriority w:val="99"/>
    <w:semiHidden/>
    <w:unhideWhenUsed/>
    <w:rPr>
      <w:sz w:val="16"/>
      <w:szCs w:val="16"/>
    </w:rPr>
  </w:style>
  <w:style w:type="paragraph" w:styleId="223">
    <w:name w:val="annotation text"/>
    <w:basedOn w:val="192"/>
    <w:link w:val="224"/>
    <w:uiPriority w:val="99"/>
    <w:unhideWhenUsed/>
    <w:rPr>
      <w:sz w:val="20"/>
      <w:szCs w:val="20"/>
    </w:rPr>
  </w:style>
  <w:style w:type="character" w:styleId="224" w:customStyle="1">
    <w:name w:val="Texto comentario Car"/>
    <w:link w:val="223"/>
    <w:uiPriority w:val="99"/>
    <w:rPr>
      <w:lang w:val="es-UY" w:eastAsia="es-UY"/>
    </w:rPr>
  </w:style>
  <w:style w:type="paragraph" w:styleId="225">
    <w:name w:val="annotation subject"/>
    <w:basedOn w:val="223"/>
    <w:next w:val="223"/>
    <w:link w:val="226"/>
    <w:uiPriority w:val="99"/>
    <w:semiHidden/>
    <w:unhideWhenUsed/>
    <w:rPr>
      <w:b/>
      <w:bCs/>
    </w:rPr>
  </w:style>
  <w:style w:type="character" w:styleId="226" w:customStyle="1">
    <w:name w:val="Asunto del comentario Car"/>
    <w:link w:val="225"/>
    <w:uiPriority w:val="99"/>
    <w:semiHidden/>
    <w:rPr>
      <w:b/>
      <w:bCs/>
      <w:lang w:val="es-UY" w:eastAsia="es-UY"/>
    </w:rPr>
  </w:style>
  <w:style w:type="paragraph" w:styleId="227">
    <w:name w:val="Balloon Text"/>
    <w:basedOn w:val="192"/>
    <w:link w:val="228"/>
    <w:uiPriority w:val="99"/>
    <w:semiHidden/>
    <w:unhideWhenUsed/>
    <w:rPr>
      <w:rFonts w:ascii="Tahoma" w:hAnsi="Tahoma"/>
      <w:sz w:val="16"/>
      <w:szCs w:val="16"/>
    </w:rPr>
  </w:style>
  <w:style w:type="character" w:styleId="228" w:customStyle="1">
    <w:name w:val="Texto de globo Car"/>
    <w:link w:val="227"/>
    <w:uiPriority w:val="99"/>
    <w:semiHidden/>
    <w:rPr>
      <w:rFonts w:ascii="Tahoma" w:hAnsi="Tahoma" w:cs="Tahoma"/>
      <w:sz w:val="16"/>
      <w:szCs w:val="16"/>
      <w:lang w:val="es-UY" w:eastAsia="es-UY"/>
    </w:rPr>
  </w:style>
  <w:style w:type="character" w:styleId="229" w:customStyle="1">
    <w:name w:val="apple-converted-space"/>
    <w:basedOn w:val="195"/>
  </w:style>
  <w:style w:type="character" w:styleId="230">
    <w:name w:val="Emphasis"/>
    <w:qFormat/>
    <w:uiPriority w:val="20"/>
    <w:rPr>
      <w:i/>
      <w:iCs/>
    </w:rPr>
  </w:style>
  <w:style w:type="character" w:styleId="231" w:customStyle="1">
    <w:name w:val="Style Times New Roman 12 pt"/>
    <w:uiPriority w:val="99"/>
    <w:rPr>
      <w:rFonts w:ascii="Times New Roman" w:hAnsi="Times New Roman" w:cs="Times New Roman"/>
      <w:sz w:val="24"/>
    </w:rPr>
  </w:style>
  <w:style w:type="character" w:styleId="232" w:customStyle="1">
    <w:name w:val="object"/>
  </w:style>
  <w:style w:type="paragraph" w:styleId="233" w:customStyle="1">
    <w:name w:val="Default"/>
    <w:rPr>
      <w:rFonts w:ascii="Arial" w:hAnsi="Arial" w:cs="Arial"/>
      <w:color w:val="000000"/>
      <w:sz w:val="24"/>
      <w:szCs w:val="24"/>
      <w:lang w:eastAsia="en-US"/>
    </w:rPr>
  </w:style>
  <w:style w:type="character" w:styleId="234" w:customStyle="1">
    <w:name w:val="zmsearchresult"/>
  </w:style>
  <w:style w:type="character" w:styleId="235" w:customStyle="1">
    <w:name w:val="Título 2 Car"/>
    <w:link w:val="194"/>
    <w:uiPriority w:val="9"/>
    <w:semiHidden/>
    <w:rPr>
      <w:rFonts w:ascii="Cambria" w:hAnsi="Cambria" w:cs="Times New Roman" w:eastAsia="Times New Roman"/>
      <w:b/>
      <w:bCs/>
      <w:i/>
      <w:iCs/>
      <w:sz w:val="28"/>
      <w:szCs w:val="28"/>
    </w:rPr>
  </w:style>
  <w:style w:type="paragraph" w:styleId="236" w:customStyle="1">
    <w:name w:val="normal1"/>
    <w:basedOn w:val="192"/>
    <w:rPr>
      <w:rFonts w:ascii="Times New Roman" w:hAnsi="Times New Roman" w:eastAsia="Times New Roman"/>
      <w:sz w:val="24"/>
      <w:szCs w:val="24"/>
    </w:rPr>
    <w:pPr>
      <w:spacing w:after="100" w:afterAutospacing="1" w:before="100" w:beforeAutospacing="1"/>
    </w:pPr>
  </w:style>
  <w:style w:type="character" w:styleId="237" w:customStyle="1">
    <w:name w:val="Ninguno"/>
  </w:style>
  <w:style w:type="paragraph" w:styleId="238" w:customStyle="1">
    <w:name w:val="Cuerpo A"/>
    <w:rPr>
      <w:rFonts w:cs="Calibri"/>
      <w:b/>
      <w:bCs/>
      <w:color w:val="000000"/>
      <w:sz w:val="28"/>
      <w:szCs w:val="28"/>
      <w:lang w:val="es-ES_tradnl"/>
    </w:rPr>
    <w:pPr>
      <w:spacing w:lineRule="auto" w:line="256" w:after="160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numbering" w:styleId="239" w:customStyle="1">
    <w:name w:val="Estilo importado 1"/>
    <w:pPr>
      <w:numPr>
        <w:numId w:val="1"/>
      </w:numPr>
    </w:pPr>
  </w:style>
  <w:style w:type="numbering" w:styleId="240" w:customStyle="1">
    <w:name w:val="Estilo importado 1.0"/>
    <w:pPr>
      <w:numPr>
        <w:numId w:val="2"/>
      </w:numPr>
    </w:pPr>
  </w:style>
  <w:style w:type="paragraph" w:styleId="241" w:customStyle="1">
    <w:name w:val="Label"/>
    <w:rPr>
      <w:rFonts w:ascii="Arial" w:hAnsi="Arial" w:cs="Arial" w:eastAsia="Arial"/>
      <w:color w:val="000000"/>
      <w:sz w:val="24"/>
      <w:szCs w:val="24"/>
    </w:rPr>
    <w:pPr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0"/>
    </w:pPr>
  </w:style>
  <w:style w:type="paragraph" w:styleId="242" w:customStyle="1">
    <w:name w:val="Predeterminado"/>
    <w:rPr>
      <w:rFonts w:ascii="Helvetica Neue" w:hAnsi="Helvetica Neue" w:cs="Helvetica Neue" w:eastAsia="Helvetica Neue"/>
      <w:color w:val="000000"/>
      <w:sz w:val="22"/>
      <w:szCs w:val="22"/>
      <w:lang w:val="es-ES_tradnl"/>
    </w:rPr>
    <w:pPr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243" w:customStyle="1">
    <w:name w:val="Label A"/>
    <w:rPr>
      <w:rFonts w:ascii="Arial" w:hAnsi="Arial" w:cs="Arial" w:eastAsia="Arial"/>
      <w:color w:val="000000"/>
      <w:sz w:val="24"/>
      <w:szCs w:val="24"/>
      <w:lang w:val="es-ES_tradnl"/>
    </w:rPr>
    <w:pPr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0"/>
    </w:pPr>
  </w:style>
  <w:style w:type="paragraph" w:styleId="244" w:customStyle="1">
    <w:name w:val="Texto general"/>
    <w:link w:val="245"/>
    <w:qFormat/>
    <w:rPr>
      <w:rFonts w:ascii="Microsoft Sans Serif" w:hAnsi="Microsoft Sans Serif"/>
      <w:color w:val="404040"/>
      <w:sz w:val="24"/>
      <w:szCs w:val="22"/>
      <w:lang w:val="es-ES" w:eastAsia="en-US"/>
    </w:rPr>
    <w:pPr>
      <w:spacing w:lineRule="auto" w:line="360" w:after="120" w:before="240"/>
    </w:pPr>
  </w:style>
  <w:style w:type="character" w:styleId="245" w:customStyle="1">
    <w:name w:val="Texto general Car"/>
    <w:link w:val="244"/>
    <w:rPr>
      <w:rFonts w:ascii="Microsoft Sans Serif" w:hAnsi="Microsoft Sans Serif"/>
      <w:color w:val="404040"/>
      <w:sz w:val="24"/>
      <w:szCs w:val="22"/>
      <w:lang w:val="es-ES" w:eastAsia="en-US"/>
    </w:rPr>
  </w:style>
  <w:style w:type="paragraph" w:styleId="246">
    <w:name w:val="caption"/>
    <w:basedOn w:val="244"/>
    <w:next w:val="244"/>
    <w:qFormat/>
    <w:uiPriority w:val="35"/>
    <w:unhideWhenUsed/>
    <w:rPr>
      <w:iCs/>
      <w:color w:val="182765"/>
      <w:szCs w:val="18"/>
    </w:rPr>
    <w:pPr>
      <w:spacing w:lineRule="auto" w:line="240" w:after="200"/>
    </w:pPr>
  </w:style>
  <w:style w:type="paragraph" w:styleId="247" w:customStyle="1">
    <w:name w:val="Subtítulo (Título 1)"/>
    <w:basedOn w:val="193"/>
    <w:next w:val="244"/>
    <w:qFormat/>
    <w:rPr>
      <w:rFonts w:ascii="Microsoft Sans Serif" w:hAnsi="Microsoft Sans Serif"/>
      <w:b w:val="false"/>
      <w:bCs w:val="false"/>
      <w:color w:val="182765"/>
      <w:sz w:val="28"/>
      <w:szCs w:val="32"/>
      <w:lang w:val="es-UY" w:eastAsia="en-US"/>
    </w:rPr>
    <w:pPr>
      <w:ind w:left="709"/>
      <w:keepLines/>
      <w:keepNext/>
      <w:spacing w:lineRule="auto" w:line="360" w:after="200" w:afterAutospacing="0" w:before="120" w:beforeAutospacing="0"/>
    </w:pPr>
  </w:style>
  <w:style w:type="table" w:styleId="248" w:customStyle="1">
    <w:name w:val="Tabla de cuadrícula 4 - Énfasis 1"/>
    <w:basedOn w:val="196"/>
    <w:uiPriority w:val="49"/>
    <w:rPr>
      <w:rFonts w:ascii="Microsoft Sans Serif" w:hAnsi="Microsoft Sans Serif"/>
      <w:color w:val="404040"/>
      <w:sz w:val="24"/>
    </w:rPr>
    <w:tblPr>
      <w:tblStyleRowBandSize w:val="1"/>
      <w:tblStyleColBandSize w:val="1"/>
      <w:tblBorders>
        <w:left w:val="single" w:color="8EAADB" w:sz="4" w:space="0"/>
        <w:top w:val="single" w:color="8EAADB" w:sz="4" w:space="0"/>
        <w:right w:val="single" w:color="8EAADB" w:sz="4" w:space="0"/>
        <w:bottom w:val="single" w:color="8EAADB" w:sz="4" w:space="0"/>
        <w:insideV w:val="single" w:color="8EAADB" w:sz="4" w:space="0"/>
        <w:insideH w:val="single" w:color="8EAADB" w:sz="4" w:space="0"/>
      </w:tblBorders>
    </w:tblPr>
    <w:tcPr>
      <w:shd w:val="clear" w:color="auto" w:fill="auto"/>
    </w:tcPr>
    <w:tblStylePr w:type="band1Horz">
      <w:tcPr>
        <w:shd w:val="clear" w:color="auto" w:fill="D9E2F3"/>
      </w:tcPr>
    </w:tblStylePr>
    <w:tblStylePr w:type="band1Vert">
      <w:tcPr>
        <w:shd w:val="clear" w:color="auto" w:fill="D9E2F3"/>
      </w:tcPr>
    </w:tblStylePr>
    <w:tblStylePr w:type="firstCol">
      <w:rPr>
        <w:b/>
        <w:bCs/>
      </w:rPr>
    </w:tblStylePr>
    <w:tblStylePr w:type="firstRow">
      <w:rPr>
        <w:rFonts w:ascii="Verdana" w:hAnsi="Verdana"/>
        <w:b w:val="false"/>
        <w:bCs/>
        <w:i w:val="false"/>
        <w:color w:val="404040"/>
        <w:sz w:val="24"/>
      </w:rPr>
      <w:tcPr>
        <w:shd w:val="clear" w:color="auto" w:fill="4472C4"/>
        <w:tcBorders>
          <w:left w:val="single" w:color="4472C4" w:sz="4" w:space="0"/>
          <w:top w:val="single" w:color="4472C4" w:sz="4" w:space="0"/>
          <w:right w:val="single" w:color="4472C4" w:sz="4" w:space="0"/>
          <w:bottom w:val="single" w:color="4472C4" w:sz="4" w:space="0"/>
          <w:insideV w:val="none" w:color="000000" w:sz="4" w:space="0"/>
          <w:insideH w:val="none" w:color="000000" w:sz="4" w:space="0"/>
        </w:tcBorders>
      </w:tcPr>
    </w:tblStylePr>
    <w:tblStylePr w:type="lastCol">
      <w:rPr>
        <w:b/>
        <w:bCs/>
      </w:rPr>
    </w:tblStylePr>
    <w:tblStylePr w:type="lastRow">
      <w:rPr>
        <w:b/>
        <w:bCs/>
      </w:rPr>
      <w:tcPr>
        <w:tcBorders>
          <w:top w:val="single" w:color="4472C4" w:sz="4" w:space="0"/>
        </w:tcBorders>
      </w:tcPr>
    </w:tblStylePr>
  </w:style>
  <w:style w:type="paragraph" w:styleId="249" w:customStyle="1">
    <w:name w:val="Cabezal Tabla"/>
    <w:basedOn w:val="244"/>
    <w:next w:val="244"/>
    <w:link w:val="251"/>
    <w:rPr>
      <w:b/>
      <w:bCs/>
      <w:color w:val="F2F2F2"/>
    </w:rPr>
  </w:style>
  <w:style w:type="paragraph" w:styleId="250" w:customStyle="1">
    <w:name w:val="Tabla - texto"/>
    <w:basedOn w:val="249"/>
    <w:link w:val="252"/>
    <w:qFormat/>
    <w:rPr>
      <w:b w:val="false"/>
      <w:bCs w:val="false"/>
      <w:color w:val="404040"/>
    </w:rPr>
    <w:pPr>
      <w:spacing w:after="240"/>
    </w:pPr>
  </w:style>
  <w:style w:type="character" w:styleId="251" w:customStyle="1">
    <w:name w:val="Cabezal Tabla Car"/>
    <w:link w:val="249"/>
    <w:rPr>
      <w:rFonts w:ascii="Microsoft Sans Serif" w:hAnsi="Microsoft Sans Serif"/>
      <w:b/>
      <w:bCs/>
      <w:color w:val="F2F2F2"/>
      <w:sz w:val="24"/>
      <w:szCs w:val="22"/>
      <w:lang w:val="es-ES" w:eastAsia="en-US"/>
    </w:rPr>
  </w:style>
  <w:style w:type="character" w:styleId="252" w:customStyle="1">
    <w:name w:val="Tabla - texto Car"/>
    <w:link w:val="250"/>
    <w:rPr>
      <w:rFonts w:ascii="Microsoft Sans Serif" w:hAnsi="Microsoft Sans Serif"/>
      <w:color w:val="404040"/>
      <w:sz w:val="24"/>
      <w:szCs w:val="22"/>
      <w:lang w:val="es-ES" w:eastAsia="en-US"/>
    </w:rPr>
  </w:style>
  <w:style w:type="paragraph" w:styleId="253" w:customStyle="1">
    <w:name w:val="Título Portada"/>
    <w:basedOn w:val="192"/>
    <w:next w:val="192"/>
    <w:qFormat/>
    <w:rPr>
      <w:rFonts w:ascii="Microsoft Sans Serif" w:hAnsi="Microsoft Sans Serif" w:cs="Microsoft Sans Serif"/>
      <w:b/>
      <w:color w:val="182765"/>
      <w:sz w:val="56"/>
      <w:szCs w:val="40"/>
      <w:lang w:val="es-MX" w:eastAsia="en-US"/>
    </w:rPr>
    <w:pPr>
      <w:spacing w:lineRule="auto" w:line="360" w:after="480" w:before="2400"/>
    </w:pPr>
  </w:style>
  <w:style w:type="paragraph" w:styleId="254">
    <w:name w:val="Revision"/>
    <w:uiPriority w:val="99"/>
    <w:hidden/>
    <w:semiHidden/>
    <w:rPr>
      <w:sz w:val="22"/>
      <w:szCs w:val="22"/>
    </w:rPr>
  </w:style>
  <w:style w:type="character" w:styleId="255">
    <w:name w:val="Unresolved Mention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hyperlink" Target="https://archivos.agesic.gub.uy/nextcloud/index.php/s/GcsgR95wmzPtfTj" TargetMode="External"/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ONLYOFFICE/5.2.7.2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